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0A6D2B">
      <w:pPr>
        <w:pStyle w:val="5"/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/>
          <w:lang w:val="en-US" w:eastAsia="zh-CN"/>
        </w:rPr>
        <w:t>-</w:t>
      </w:r>
    </w:p>
    <w:p w14:paraId="1C1F1DC1">
      <w:pPr>
        <w:pStyle w:val="5"/>
        <w:rPr>
          <w:rFonts w:ascii="Times New Roman"/>
        </w:rPr>
      </w:pPr>
    </w:p>
    <w:p w14:paraId="2B8C2BA8">
      <w:pPr>
        <w:pStyle w:val="5"/>
        <w:rPr>
          <w:rFonts w:ascii="Times New Roman"/>
        </w:rPr>
      </w:pPr>
    </w:p>
    <w:p w14:paraId="04EE519E">
      <w:pPr>
        <w:pStyle w:val="5"/>
        <w:rPr>
          <w:rFonts w:ascii="Times New Roman"/>
        </w:rPr>
      </w:pPr>
    </w:p>
    <w:p w14:paraId="6FBFF4F9">
      <w:pPr>
        <w:pStyle w:val="5"/>
        <w:rPr>
          <w:rFonts w:ascii="Times New Roman"/>
        </w:rPr>
      </w:pPr>
    </w:p>
    <w:p w14:paraId="510BF980">
      <w:pPr>
        <w:pStyle w:val="5"/>
        <w:rPr>
          <w:rFonts w:ascii="Times New Roman"/>
        </w:rPr>
      </w:pPr>
    </w:p>
    <w:p w14:paraId="63B65D5B">
      <w:pPr>
        <w:pStyle w:val="5"/>
        <w:rPr>
          <w:rFonts w:ascii="Times New Roman"/>
        </w:rPr>
      </w:pPr>
    </w:p>
    <w:p w14:paraId="0D2F0640">
      <w:pPr>
        <w:pStyle w:val="5"/>
        <w:rPr>
          <w:rFonts w:ascii="Times New Roman"/>
        </w:rPr>
      </w:pPr>
    </w:p>
    <w:p w14:paraId="54FD5496">
      <w:pPr>
        <w:pStyle w:val="5"/>
        <w:rPr>
          <w:rFonts w:ascii="Times New Roman"/>
        </w:rPr>
      </w:pPr>
    </w:p>
    <w:p w14:paraId="64C12402">
      <w:pPr>
        <w:pStyle w:val="5"/>
        <w:rPr>
          <w:rFonts w:ascii="Times New Roman"/>
        </w:rPr>
      </w:pPr>
    </w:p>
    <w:p w14:paraId="716A4F6C">
      <w:pPr>
        <w:pStyle w:val="5"/>
        <w:rPr>
          <w:rFonts w:ascii="Times New Roman"/>
        </w:rPr>
      </w:pPr>
    </w:p>
    <w:p w14:paraId="17BCEA31">
      <w:pPr>
        <w:pStyle w:val="5"/>
        <w:rPr>
          <w:rFonts w:ascii="Times New Roman"/>
        </w:rPr>
      </w:pPr>
    </w:p>
    <w:p w14:paraId="7CDD146E">
      <w:pPr>
        <w:spacing w:before="181" w:line="530" w:lineRule="auto"/>
        <w:ind w:left="1185" w:right="1418" w:hanging="221"/>
        <w:jc w:val="center"/>
        <w:rPr>
          <w:rFonts w:ascii="黑体" w:eastAsia="黑体"/>
          <w:b/>
          <w:sz w:val="44"/>
          <w:lang w:eastAsia="zh-CN"/>
        </w:rPr>
      </w:pPr>
      <w:bookmarkStart w:id="0" w:name="嘉兴禾采联综合采购服务平台"/>
      <w:bookmarkEnd w:id="0"/>
      <w:r>
        <w:rPr>
          <w:rFonts w:hint="eastAsia" w:ascii="黑体" w:eastAsia="黑体"/>
          <w:b/>
          <w:sz w:val="44"/>
          <w:lang w:eastAsia="zh-CN"/>
        </w:rPr>
        <w:t>嘉兴禾采联综合采购服务平台</w:t>
      </w:r>
    </w:p>
    <w:p w14:paraId="5CAF43EF">
      <w:pPr>
        <w:spacing w:before="181" w:line="530" w:lineRule="auto"/>
        <w:ind w:left="1185" w:right="1418" w:hanging="221"/>
        <w:jc w:val="center"/>
        <w:rPr>
          <w:rFonts w:ascii="黑体" w:eastAsia="黑体"/>
          <w:b/>
          <w:sz w:val="44"/>
          <w:lang w:eastAsia="zh-CN"/>
        </w:rPr>
      </w:pPr>
      <w:r>
        <w:rPr>
          <w:rFonts w:hint="eastAsia" w:ascii="黑体" w:eastAsia="黑体"/>
          <w:b/>
          <w:sz w:val="44"/>
          <w:lang w:eastAsia="zh-CN"/>
        </w:rPr>
        <w:t>公开竞价业务操作手册</w:t>
      </w:r>
    </w:p>
    <w:p w14:paraId="405D70A1">
      <w:pPr>
        <w:spacing w:before="181" w:line="530" w:lineRule="auto"/>
        <w:ind w:left="1185" w:right="1418" w:hanging="221"/>
        <w:jc w:val="center"/>
        <w:rPr>
          <w:rFonts w:ascii="黑体" w:eastAsia="黑体"/>
          <w:b/>
          <w:sz w:val="44"/>
          <w:lang w:eastAsia="zh-CN"/>
        </w:rPr>
      </w:pPr>
      <w:r>
        <w:rPr>
          <w:rFonts w:hint="eastAsia" w:ascii="黑体" w:eastAsia="黑体"/>
          <w:b/>
          <w:sz w:val="44"/>
          <w:lang w:eastAsia="zh-CN"/>
        </w:rPr>
        <w:t>（采购人/采购代理）</w:t>
      </w:r>
    </w:p>
    <w:p w14:paraId="5102BC20">
      <w:pPr>
        <w:spacing w:line="530" w:lineRule="auto"/>
        <w:rPr>
          <w:rFonts w:ascii="黑体" w:eastAsia="黑体"/>
          <w:sz w:val="44"/>
          <w:lang w:eastAsia="zh-CN"/>
        </w:rPr>
        <w:sectPr>
          <w:headerReference r:id="rId3" w:type="default"/>
          <w:type w:val="continuous"/>
          <w:pgSz w:w="11910" w:h="16840"/>
          <w:pgMar w:top="820" w:right="1240" w:bottom="280" w:left="1660" w:header="634" w:footer="720" w:gutter="0"/>
          <w:cols w:space="720" w:num="1"/>
        </w:sectPr>
      </w:pPr>
    </w:p>
    <w:p w14:paraId="22B664D1">
      <w:pPr>
        <w:spacing w:before="2"/>
        <w:ind w:left="1772" w:right="2191"/>
        <w:jc w:val="center"/>
        <w:rPr>
          <w:b/>
          <w:bCs/>
          <w:sz w:val="52"/>
          <w:szCs w:val="56"/>
          <w:lang w:eastAsia="zh-CN"/>
        </w:rPr>
      </w:pPr>
    </w:p>
    <w:p w14:paraId="08F54CFA">
      <w:pPr>
        <w:spacing w:before="2"/>
        <w:ind w:left="1772" w:right="2191"/>
        <w:jc w:val="center"/>
        <w:rPr>
          <w:b/>
          <w:bCs/>
          <w:sz w:val="52"/>
          <w:szCs w:val="56"/>
          <w:lang w:eastAsia="zh-CN"/>
        </w:rPr>
      </w:pPr>
      <w:r>
        <w:rPr>
          <w:b/>
          <w:bCs/>
          <w:sz w:val="52"/>
          <w:szCs w:val="56"/>
          <w:lang w:eastAsia="zh-CN"/>
        </w:rPr>
        <w:t>目录</w:t>
      </w:r>
    </w:p>
    <w:p w14:paraId="6F2FB5E3">
      <w:pPr>
        <w:pStyle w:val="9"/>
        <w:tabs>
          <w:tab w:val="right" w:leader="dot" w:pos="9010"/>
        </w:tabs>
      </w:pPr>
      <w:r>
        <w:rPr>
          <w:rFonts w:ascii="Calibri" w:eastAsiaTheme="minorEastAsia"/>
          <w:sz w:val="28"/>
          <w:szCs w:val="28"/>
          <w:lang w:eastAsia="zh-CN"/>
        </w:rPr>
        <w:fldChar w:fldCharType="begin"/>
      </w:r>
      <w:r>
        <w:rPr>
          <w:rFonts w:ascii="Calibri" w:eastAsiaTheme="minorEastAsia"/>
          <w:sz w:val="28"/>
          <w:szCs w:val="28"/>
          <w:lang w:eastAsia="zh-CN"/>
        </w:rPr>
        <w:instrText xml:space="preserve"> TOC \o "1-3" \h \z \u </w:instrText>
      </w:r>
      <w:r>
        <w:rPr>
          <w:rFonts w:ascii="Calibri" w:eastAsiaTheme="minorEastAsia"/>
          <w:sz w:val="28"/>
          <w:szCs w:val="28"/>
          <w:lang w:eastAsia="zh-CN"/>
        </w:rPr>
        <w:fldChar w:fldCharType="separate"/>
      </w: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_Toc14025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一、系统前期准备</w:t>
      </w:r>
      <w:r>
        <w:tab/>
      </w:r>
      <w:r>
        <w:fldChar w:fldCharType="begin"/>
      </w:r>
      <w:r>
        <w:instrText xml:space="preserve"> PAGEREF _Toc14025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5F4B0ACE">
      <w:pPr>
        <w:pStyle w:val="10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_Toc26083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default"/>
          <w:lang w:eastAsia="zh-CN"/>
        </w:rPr>
        <w:t xml:space="preserve">1.1、 </w:t>
      </w:r>
      <w:r>
        <w:rPr>
          <w:rFonts w:hint="eastAsia"/>
          <w:lang w:eastAsia="zh-CN"/>
        </w:rPr>
        <w:t>驱动安装及检测</w:t>
      </w:r>
      <w:r>
        <w:tab/>
      </w:r>
      <w:r>
        <w:fldChar w:fldCharType="begin"/>
      </w:r>
      <w:r>
        <w:instrText xml:space="preserve"> PAGEREF _Toc26083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6E8E66CE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_Toc1283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1.1.1、安装驱动程序</w:t>
      </w:r>
      <w:r>
        <w:tab/>
      </w:r>
      <w:r>
        <w:fldChar w:fldCharType="begin"/>
      </w:r>
      <w:r>
        <w:instrText xml:space="preserve"> PAGEREF _Toc1283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5731A3E6">
      <w:pPr>
        <w:pStyle w:val="10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_Toc13069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default"/>
          <w:lang w:eastAsia="zh-CN"/>
        </w:rPr>
        <w:t xml:space="preserve">1.2、 </w:t>
      </w:r>
      <w:r>
        <w:rPr>
          <w:rFonts w:hint="eastAsia"/>
          <w:lang w:eastAsia="zh-CN"/>
        </w:rPr>
        <w:t>浏览器配置</w:t>
      </w:r>
      <w:r>
        <w:tab/>
      </w:r>
      <w:r>
        <w:fldChar w:fldCharType="begin"/>
      </w:r>
      <w:r>
        <w:instrText xml:space="preserve"> PAGEREF _Toc13069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65CD81FE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_Toc5277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1.2.1、Edge浏览器配置</w:t>
      </w:r>
      <w:r>
        <w:tab/>
      </w:r>
      <w:r>
        <w:fldChar w:fldCharType="begin"/>
      </w:r>
      <w:r>
        <w:instrText xml:space="preserve"> PAGEREF _Toc5277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67B8E5A6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_Toc17167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1.2.2、360浏览器（360极速浏览器）配置</w:t>
      </w:r>
      <w:r>
        <w:tab/>
      </w:r>
      <w:r>
        <w:fldChar w:fldCharType="begin"/>
      </w:r>
      <w:r>
        <w:instrText xml:space="preserve"> PAGEREF _Toc17167 \h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6A1C5C1A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_Toc15304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1.2.3、IE浏览器配置</w:t>
      </w:r>
      <w:r>
        <w:tab/>
      </w:r>
      <w:r>
        <w:fldChar w:fldCharType="begin"/>
      </w:r>
      <w:r>
        <w:instrText xml:space="preserve"> PAGEREF _Toc15304 \h </w:instrText>
      </w:r>
      <w:r>
        <w:fldChar w:fldCharType="separate"/>
      </w:r>
      <w:r>
        <w:t>10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4C8C01FB">
      <w:pPr>
        <w:pStyle w:val="9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_Toc3361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二、招标人</w:t>
      </w:r>
      <w:r>
        <w:rPr>
          <w:rFonts w:hint="eastAsia"/>
          <w:lang w:val="en-US" w:eastAsia="zh-CN"/>
        </w:rPr>
        <w:t>注册</w:t>
      </w:r>
      <w:r>
        <w:rPr>
          <w:rFonts w:hint="eastAsia"/>
          <w:lang w:eastAsia="zh-CN"/>
        </w:rPr>
        <w:t>系统</w:t>
      </w:r>
      <w:r>
        <w:tab/>
      </w:r>
      <w:r>
        <w:fldChar w:fldCharType="begin"/>
      </w:r>
      <w:r>
        <w:instrText xml:space="preserve"> PAGEREF _Toc3361 \h </w:instrText>
      </w:r>
      <w:r>
        <w:fldChar w:fldCharType="separate"/>
      </w:r>
      <w:r>
        <w:t>14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4E3B5CF6">
      <w:pPr>
        <w:pStyle w:val="9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_Toc20344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、项目</w:t>
      </w:r>
      <w:r>
        <w:rPr>
          <w:rFonts w:hint="eastAsia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_Toc20344 \h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40B65F52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_Toc27267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.1.1 项目注册</w:t>
      </w:r>
      <w:r>
        <w:tab/>
      </w:r>
      <w:r>
        <w:fldChar w:fldCharType="begin"/>
      </w:r>
      <w:r>
        <w:instrText xml:space="preserve"> PAGEREF _Toc27267 \h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76AC7252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_Toc9116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3.1.2 项目受理</w:t>
      </w:r>
      <w:r>
        <w:tab/>
      </w:r>
      <w:r>
        <w:fldChar w:fldCharType="begin"/>
      </w:r>
      <w:r>
        <w:instrText xml:space="preserve"> PAGEREF _Toc9116 \h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32A8DDD8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_Toc2126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3.2.1 交易文件备案</w:t>
      </w:r>
      <w:r>
        <w:tab/>
      </w:r>
      <w:r>
        <w:fldChar w:fldCharType="begin"/>
      </w:r>
      <w:r>
        <w:instrText xml:space="preserve"> PAGEREF _Toc2126 \h </w:instrText>
      </w:r>
      <w:r>
        <w:fldChar w:fldCharType="separate"/>
      </w:r>
      <w:r>
        <w:t>18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0CDA3C3C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_Toc24117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3.2.2 设定竞价规则</w:t>
      </w:r>
      <w:r>
        <w:tab/>
      </w:r>
      <w:r>
        <w:fldChar w:fldCharType="begin"/>
      </w:r>
      <w:r>
        <w:instrText xml:space="preserve"> PAGEREF _Toc24117 \h </w:instrText>
      </w:r>
      <w:r>
        <w:fldChar w:fldCharType="separate"/>
      </w:r>
      <w:r>
        <w:t>19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5E9401AF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_Toc29885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3.2.3 交易公告备案</w:t>
      </w:r>
      <w:r>
        <w:tab/>
      </w:r>
      <w:r>
        <w:fldChar w:fldCharType="begin"/>
      </w:r>
      <w:r>
        <w:instrText xml:space="preserve"> PAGEREF _Toc29885 \h </w:instrText>
      </w:r>
      <w:r>
        <w:fldChar w:fldCharType="separate"/>
      </w:r>
      <w:r>
        <w:t>20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01F0BB6B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_Toc15323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3.2.4 澄清公告备案</w:t>
      </w:r>
      <w:r>
        <w:tab/>
      </w:r>
      <w:r>
        <w:fldChar w:fldCharType="begin"/>
      </w:r>
      <w:r>
        <w:instrText xml:space="preserve"> PAGEREF _Toc15323 \h </w:instrText>
      </w:r>
      <w:r>
        <w:fldChar w:fldCharType="separate"/>
      </w:r>
      <w:r>
        <w:t>21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7EC2EA4F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_Toc3089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3.2.5 报名审核</w:t>
      </w:r>
      <w:r>
        <w:tab/>
      </w:r>
      <w:r>
        <w:fldChar w:fldCharType="begin"/>
      </w:r>
      <w:r>
        <w:instrText xml:space="preserve"> PAGEREF _Toc3089 \h </w:instrText>
      </w:r>
      <w:r>
        <w:fldChar w:fldCharType="separate"/>
      </w:r>
      <w:r>
        <w:t>22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1AC7E849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_Toc6578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3.2.6 同步竞价结果</w:t>
      </w:r>
      <w:r>
        <w:tab/>
      </w:r>
      <w:r>
        <w:fldChar w:fldCharType="begin"/>
      </w:r>
      <w:r>
        <w:instrText xml:space="preserve"> PAGEREF _Toc6578 \h </w:instrText>
      </w:r>
      <w:r>
        <w:fldChar w:fldCharType="separate"/>
      </w:r>
      <w:r>
        <w:t>23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32E62C4E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_Toc26932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3.2.7 成交公告备案</w:t>
      </w:r>
      <w:r>
        <w:tab/>
      </w:r>
      <w:r>
        <w:fldChar w:fldCharType="begin"/>
      </w:r>
      <w:r>
        <w:instrText xml:space="preserve"> PAGEREF _Toc26932 \h </w:instrText>
      </w:r>
      <w:r>
        <w:fldChar w:fldCharType="separate"/>
      </w:r>
      <w:r>
        <w:t>24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618A297F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_Toc30699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3.2.8 合同备案</w:t>
      </w:r>
      <w:r>
        <w:tab/>
      </w:r>
      <w:r>
        <w:fldChar w:fldCharType="begin"/>
      </w:r>
      <w:r>
        <w:instrText xml:space="preserve"> PAGEREF _Toc30699 \h </w:instrText>
      </w:r>
      <w:r>
        <w:fldChar w:fldCharType="separate"/>
      </w:r>
      <w:r>
        <w:t>25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60288D72">
      <w:pPr>
        <w:pStyle w:val="6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_Toc24771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3.2.9 交易异常</w:t>
      </w:r>
      <w:r>
        <w:tab/>
      </w:r>
      <w:r>
        <w:fldChar w:fldCharType="begin"/>
      </w:r>
      <w:r>
        <w:instrText xml:space="preserve"> PAGEREF _Toc24771 \h </w:instrText>
      </w:r>
      <w:r>
        <w:fldChar w:fldCharType="separate"/>
      </w:r>
      <w:r>
        <w:t>26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295D01C5">
      <w:pPr>
        <w:tabs>
          <w:tab w:val="left" w:pos="1370"/>
          <w:tab w:val="left" w:pos="1870"/>
          <w:tab w:val="right" w:leader="dot" w:pos="8460"/>
        </w:tabs>
        <w:spacing w:before="2"/>
        <w:ind w:left="965"/>
        <w:rPr>
          <w:rFonts w:ascii="Calibri" w:eastAsiaTheme="minorEastAsia"/>
          <w:szCs w:val="28"/>
          <w:lang w:eastAsia="zh-CN"/>
        </w:rPr>
      </w:pPr>
      <w:r>
        <w:rPr>
          <w:rFonts w:ascii="Calibri" w:eastAsiaTheme="minorEastAsia"/>
          <w:szCs w:val="28"/>
          <w:lang w:eastAsia="zh-CN"/>
        </w:rPr>
        <w:fldChar w:fldCharType="end"/>
      </w:r>
    </w:p>
    <w:p w14:paraId="010F5CB3">
      <w:pPr>
        <w:rPr>
          <w:rFonts w:ascii="Calibri" w:eastAsiaTheme="minorEastAsia"/>
          <w:sz w:val="20"/>
          <w:lang w:eastAsia="zh-CN"/>
        </w:rPr>
        <w:sectPr>
          <w:headerReference r:id="rId4" w:type="default"/>
          <w:pgSz w:w="11910" w:h="16840"/>
          <w:pgMar w:top="880" w:right="1240" w:bottom="280" w:left="1660" w:header="634" w:footer="567" w:gutter="0"/>
          <w:cols w:space="720" w:num="1"/>
          <w:docGrid w:linePitch="299" w:charSpace="0"/>
        </w:sectPr>
      </w:pPr>
    </w:p>
    <w:p w14:paraId="6D221807">
      <w:pPr>
        <w:pStyle w:val="5"/>
        <w:rPr>
          <w:rFonts w:ascii="Calibri"/>
        </w:rPr>
      </w:pPr>
    </w:p>
    <w:p w14:paraId="0F6C4782">
      <w:pPr>
        <w:pStyle w:val="2"/>
        <w:rPr>
          <w:rFonts w:ascii="Calibri"/>
          <w:lang w:eastAsia="zh-CN"/>
        </w:rPr>
      </w:pPr>
      <w:bookmarkStart w:id="1" w:name="_Toc14025"/>
      <w:r>
        <w:rPr>
          <w:rFonts w:hint="eastAsia"/>
          <w:lang w:eastAsia="zh-CN"/>
        </w:rPr>
        <w:t>一、系统前期准备</w:t>
      </w:r>
      <w:bookmarkEnd w:id="1"/>
    </w:p>
    <w:p w14:paraId="2C7F610D">
      <w:pPr>
        <w:pStyle w:val="3"/>
        <w:numPr>
          <w:ilvl w:val="1"/>
          <w:numId w:val="1"/>
        </w:numPr>
        <w:rPr>
          <w:lang w:eastAsia="zh-CN"/>
        </w:rPr>
      </w:pPr>
      <w:bookmarkStart w:id="2" w:name="_Toc26083"/>
      <w:r>
        <w:rPr>
          <w:rFonts w:hint="eastAsia"/>
          <w:lang w:eastAsia="zh-CN"/>
        </w:rPr>
        <w:t>驱动安装</w:t>
      </w:r>
      <w:bookmarkStart w:id="3" w:name="_bookmark0"/>
      <w:bookmarkEnd w:id="3"/>
      <w:bookmarkStart w:id="4" w:name="1.1_、__驱动安装说明"/>
      <w:bookmarkEnd w:id="4"/>
      <w:r>
        <w:rPr>
          <w:rFonts w:hint="eastAsia"/>
          <w:lang w:eastAsia="zh-CN"/>
        </w:rPr>
        <w:t>及检测</w:t>
      </w:r>
      <w:bookmarkEnd w:id="2"/>
    </w:p>
    <w:p w14:paraId="52A5294C">
      <w:pPr>
        <w:pStyle w:val="4"/>
        <w:rPr>
          <w:lang w:eastAsia="zh-CN"/>
        </w:rPr>
      </w:pPr>
      <w:bookmarkStart w:id="5" w:name="_Toc1283"/>
      <w:r>
        <w:rPr>
          <w:rFonts w:hint="eastAsia"/>
          <w:lang w:eastAsia="zh-CN"/>
        </w:rPr>
        <w:t>1.1.1、安装驱动程序</w:t>
      </w:r>
      <w:bookmarkEnd w:id="5"/>
    </w:p>
    <w:p w14:paraId="6882CB27">
      <w:pPr>
        <w:tabs>
          <w:tab w:val="left" w:pos="800"/>
        </w:tabs>
        <w:spacing w:before="75" w:line="235" w:lineRule="auto"/>
        <w:ind w:right="1451" w:firstLine="484" w:firstLineChars="200"/>
        <w:rPr>
          <w:sz w:val="20"/>
          <w:szCs w:val="20"/>
          <w:lang w:eastAsia="zh-CN"/>
        </w:rPr>
      </w:pPr>
      <w:r>
        <w:rPr>
          <w:rFonts w:hint="eastAsia"/>
          <w:spacing w:val="21"/>
          <w:sz w:val="20"/>
          <w:lang w:eastAsia="zh-CN"/>
        </w:rPr>
        <w:t>11、</w:t>
      </w:r>
      <w:r>
        <w:rPr>
          <w:rFonts w:hint="eastAsia"/>
          <w:sz w:val="20"/>
          <w:szCs w:val="20"/>
          <w:lang w:eastAsia="zh-CN"/>
        </w:rPr>
        <w:t>打开网站地址</w:t>
      </w:r>
      <w:r>
        <w:rPr>
          <w:sz w:val="20"/>
          <w:szCs w:val="20"/>
          <w:lang w:eastAsia="zh-CN"/>
        </w:rPr>
        <w:t>http://hcl.jxcqgs.cn/</w:t>
      </w:r>
      <w:r>
        <w:rPr>
          <w:rFonts w:hint="eastAsia"/>
          <w:sz w:val="20"/>
          <w:szCs w:val="20"/>
          <w:lang w:eastAsia="zh-CN"/>
        </w:rPr>
        <w:t>，</w:t>
      </w:r>
      <w:r>
        <w:rPr>
          <w:sz w:val="20"/>
          <w:szCs w:val="20"/>
          <w:lang w:eastAsia="zh-CN"/>
        </w:rPr>
        <w:t xml:space="preserve"> </w:t>
      </w:r>
      <w:r>
        <w:rPr>
          <w:rFonts w:hint="eastAsia"/>
          <w:sz w:val="20"/>
          <w:szCs w:val="20"/>
          <w:lang w:eastAsia="zh-CN"/>
        </w:rPr>
        <w:t>点击导航栏中的【下载中心】，在点击【系统驱动下载】</w:t>
      </w:r>
      <w:r>
        <w:rPr>
          <w:sz w:val="20"/>
          <w:szCs w:val="20"/>
          <w:lang w:eastAsia="zh-CN"/>
        </w:rPr>
        <w:t xml:space="preserve"> </w:t>
      </w:r>
      <w:r>
        <w:rPr>
          <w:rFonts w:hint="eastAsia"/>
          <w:sz w:val="20"/>
          <w:szCs w:val="20"/>
          <w:lang w:eastAsia="zh-CN"/>
        </w:rPr>
        <w:t>如下图：</w:t>
      </w:r>
    </w:p>
    <w:p w14:paraId="7CB8992A">
      <w:pPr>
        <w:tabs>
          <w:tab w:val="left" w:pos="800"/>
        </w:tabs>
        <w:spacing w:before="75" w:line="235" w:lineRule="auto"/>
        <w:ind w:right="1451"/>
        <w:rPr>
          <w:spacing w:val="21"/>
          <w:sz w:val="20"/>
          <w:lang w:eastAsia="zh-CN"/>
        </w:rPr>
      </w:pPr>
      <w:r>
        <w:drawing>
          <wp:inline distT="0" distB="0" distL="0" distR="0">
            <wp:extent cx="5721350" cy="2320925"/>
            <wp:effectExtent l="0" t="0" r="8890" b="10795"/>
            <wp:docPr id="127301533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1533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  <w:lang w:eastAsia="zh-CN"/>
        </w:rPr>
        <w:t xml:space="preserve"> </w:t>
      </w:r>
      <w:r>
        <w:rPr>
          <w:spacing w:val="21"/>
          <w:sz w:val="20"/>
          <w:lang w:eastAsia="zh-CN"/>
        </w:rPr>
        <w:tab/>
      </w:r>
    </w:p>
    <w:p w14:paraId="50D8E614">
      <w:pPr>
        <w:spacing w:before="75" w:line="235" w:lineRule="auto"/>
        <w:ind w:right="1451" w:firstLine="484" w:firstLineChars="200"/>
        <w:rPr>
          <w:spacing w:val="21"/>
          <w:sz w:val="20"/>
          <w:lang w:eastAsia="zh-CN"/>
        </w:rPr>
      </w:pPr>
      <w:r>
        <w:rPr>
          <w:rFonts w:hint="eastAsia"/>
          <w:spacing w:val="21"/>
          <w:sz w:val="20"/>
          <w:lang w:eastAsia="zh-CN"/>
        </w:rPr>
        <w:t>2、点击下载链接地址跳转</w:t>
      </w:r>
    </w:p>
    <w:p w14:paraId="2BFF76FE">
      <w:pPr>
        <w:tabs>
          <w:tab w:val="left" w:pos="800"/>
        </w:tabs>
        <w:spacing w:before="75" w:line="235" w:lineRule="auto"/>
        <w:ind w:right="1451"/>
        <w:rPr>
          <w:lang w:eastAsia="zh-CN"/>
        </w:rPr>
      </w:pPr>
      <w:r>
        <w:drawing>
          <wp:inline distT="0" distB="0" distL="0" distR="0">
            <wp:extent cx="5721350" cy="2362200"/>
            <wp:effectExtent l="0" t="0" r="8890" b="0"/>
            <wp:docPr id="67849174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9174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AD11">
      <w:pPr>
        <w:ind w:firstLine="720"/>
        <w:rPr>
          <w:spacing w:val="21"/>
          <w:sz w:val="20"/>
          <w:lang w:eastAsia="zh-CN"/>
        </w:rPr>
      </w:pPr>
    </w:p>
    <w:p w14:paraId="36F020E5">
      <w:pPr>
        <w:ind w:firstLine="484" w:firstLineChars="200"/>
        <w:rPr>
          <w:spacing w:val="21"/>
          <w:sz w:val="20"/>
          <w:lang w:eastAsia="zh-CN"/>
        </w:rPr>
      </w:pPr>
      <w:r>
        <w:rPr>
          <w:rFonts w:hint="eastAsia"/>
          <w:spacing w:val="21"/>
          <w:sz w:val="20"/>
          <w:lang w:eastAsia="zh-CN"/>
        </w:rPr>
        <w:t>3、点击【下载】，完成系统驱动软件安装包下载。</w:t>
      </w:r>
    </w:p>
    <w:p w14:paraId="352AC21E">
      <w:pPr>
        <w:rPr>
          <w:lang w:eastAsia="zh-CN"/>
        </w:rPr>
      </w:pPr>
      <w:r>
        <w:drawing>
          <wp:inline distT="0" distB="0" distL="0" distR="0">
            <wp:extent cx="5721350" cy="2635885"/>
            <wp:effectExtent l="0" t="0" r="8890" b="635"/>
            <wp:docPr id="49808680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86807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C9F9">
      <w:pPr>
        <w:rPr>
          <w:lang w:eastAsia="zh-CN"/>
        </w:rPr>
      </w:pPr>
    </w:p>
    <w:p w14:paraId="10021D77">
      <w:pPr>
        <w:adjustRightInd w:val="0"/>
        <w:ind w:firstLine="440" w:firstLineChars="200"/>
        <w:rPr>
          <w:rFonts w:hAnsiTheme="minorHAnsi"/>
          <w:sz w:val="20"/>
          <w:szCs w:val="20"/>
          <w:lang w:eastAsia="zh-CN"/>
        </w:rPr>
      </w:pPr>
      <w:r>
        <w:rPr>
          <w:rFonts w:hint="eastAsia"/>
          <w:lang w:eastAsia="zh-CN"/>
        </w:rPr>
        <w:t>4、</w:t>
      </w:r>
      <w:r>
        <w:rPr>
          <w:rFonts w:hint="eastAsia"/>
          <w:spacing w:val="21"/>
          <w:sz w:val="20"/>
          <w:lang w:eastAsia="zh-CN"/>
        </w:rPr>
        <w:t>右击以管理员身份运行，可自行选择安装路径，选择之后点击“快速安装”，如下</w:t>
      </w:r>
      <w:r>
        <w:rPr>
          <w:rFonts w:hint="eastAsia" w:hAnsiTheme="minorHAnsi"/>
          <w:sz w:val="20"/>
          <w:szCs w:val="20"/>
          <w:lang w:eastAsia="zh-CN"/>
        </w:rPr>
        <w:t>图</w:t>
      </w:r>
    </w:p>
    <w:p w14:paraId="3C312710">
      <w:pPr>
        <w:rPr>
          <w:lang w:eastAsia="zh-CN"/>
        </w:rPr>
      </w:pPr>
      <w:r>
        <w:drawing>
          <wp:inline distT="0" distB="0" distL="0" distR="0">
            <wp:extent cx="716280" cy="1181100"/>
            <wp:effectExtent l="0" t="0" r="0" b="7620"/>
            <wp:docPr id="138195468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54684" name="图片 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342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5991">
      <w:pPr>
        <w:rPr>
          <w:lang w:eastAsia="zh-CN"/>
        </w:rPr>
      </w:pPr>
    </w:p>
    <w:p w14:paraId="55DCF7D3">
      <w:pPr>
        <w:rPr>
          <w:lang w:eastAsia="zh-CN"/>
        </w:rPr>
      </w:pPr>
      <w:r>
        <w:drawing>
          <wp:inline distT="0" distB="0" distL="0" distR="0">
            <wp:extent cx="5715000" cy="4282440"/>
            <wp:effectExtent l="0" t="0" r="0" b="0"/>
            <wp:docPr id="1502548410" name="图片 1" descr="图形用户界面, 文本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48410" name="图片 1" descr="图形用户界面, 文本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42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45ED">
      <w:pPr>
        <w:rPr>
          <w:rFonts w:hAnsiTheme="minorHAnsi"/>
          <w:sz w:val="20"/>
          <w:szCs w:val="20"/>
          <w:lang w:eastAsia="zh-CN"/>
        </w:rPr>
      </w:pPr>
    </w:p>
    <w:p w14:paraId="6CB35AA1">
      <w:pPr>
        <w:rPr>
          <w:lang w:eastAsia="zh-CN"/>
        </w:rPr>
      </w:pPr>
      <w:r>
        <w:drawing>
          <wp:inline distT="0" distB="0" distL="0" distR="0">
            <wp:extent cx="5715000" cy="4282440"/>
            <wp:effectExtent l="0" t="0" r="0" b="0"/>
            <wp:docPr id="1858181072" name="图片 1" descr="图形用户界面, 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81072" name="图片 1" descr="图形用户界面, 日程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42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C1E8">
      <w:pPr>
        <w:adjustRightInd w:val="0"/>
        <w:ind w:firstLine="400" w:firstLineChars="200"/>
        <w:rPr>
          <w:rFonts w:hAnsiTheme="minorHAnsi"/>
          <w:sz w:val="20"/>
          <w:szCs w:val="20"/>
          <w:lang w:eastAsia="zh-CN"/>
        </w:rPr>
      </w:pPr>
      <w:r>
        <w:rPr>
          <w:rFonts w:hint="eastAsia" w:hAnsiTheme="minorHAnsi"/>
          <w:sz w:val="20"/>
          <w:szCs w:val="20"/>
          <w:lang w:eastAsia="zh-CN"/>
        </w:rPr>
        <w:t>5、安装完成之后，点击“完成”即可，如下图</w:t>
      </w:r>
    </w:p>
    <w:p w14:paraId="6023BF04">
      <w:pPr>
        <w:rPr>
          <w:rFonts w:hAnsiTheme="minorHAnsi"/>
          <w:sz w:val="20"/>
          <w:szCs w:val="20"/>
          <w:lang w:eastAsia="zh-CN"/>
        </w:rPr>
      </w:pPr>
      <w:r>
        <w:drawing>
          <wp:inline distT="0" distB="0" distL="0" distR="0">
            <wp:extent cx="4670425" cy="3500120"/>
            <wp:effectExtent l="0" t="0" r="8255" b="5080"/>
            <wp:docPr id="288590081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90081" name="图片 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1932" cy="350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DF35">
      <w:pPr>
        <w:pStyle w:val="16"/>
        <w:numPr>
          <w:ilvl w:val="0"/>
          <w:numId w:val="2"/>
        </w:numPr>
        <w:rPr>
          <w:rFonts w:hAnsiTheme="minorHAnsi"/>
          <w:sz w:val="20"/>
          <w:szCs w:val="20"/>
          <w:lang w:eastAsia="zh-CN"/>
        </w:rPr>
      </w:pPr>
      <w:r>
        <w:rPr>
          <w:rFonts w:hint="eastAsia" w:hAnsiTheme="minorHAnsi"/>
          <w:sz w:val="20"/>
          <w:szCs w:val="20"/>
          <w:lang w:eastAsia="zh-CN"/>
        </w:rPr>
        <w:t>安装完成之后，桌面会出现如下图标：</w:t>
      </w:r>
    </w:p>
    <w:p w14:paraId="5076DD87">
      <w:pPr>
        <w:ind w:firstLine="440" w:firstLineChars="200"/>
        <w:rPr>
          <w:rFonts w:hAnsiTheme="minorHAnsi"/>
          <w:sz w:val="20"/>
          <w:szCs w:val="20"/>
          <w:lang w:eastAsia="zh-CN"/>
        </w:rPr>
      </w:pPr>
      <w:r>
        <w:drawing>
          <wp:inline distT="0" distB="0" distL="0" distR="0">
            <wp:extent cx="739140" cy="1104900"/>
            <wp:effectExtent l="0" t="0" r="7620" b="7620"/>
            <wp:docPr id="69903268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32682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84AC">
      <w:pPr>
        <w:pStyle w:val="5"/>
        <w:spacing w:before="9" w:after="1"/>
        <w:rPr>
          <w:sz w:val="26"/>
          <w:lang w:eastAsia="zh-CN"/>
        </w:rPr>
      </w:pPr>
    </w:p>
    <w:p w14:paraId="0C0EC92D">
      <w:pPr>
        <w:pStyle w:val="3"/>
        <w:numPr>
          <w:ilvl w:val="1"/>
          <w:numId w:val="1"/>
        </w:numPr>
        <w:rPr>
          <w:lang w:eastAsia="zh-CN"/>
        </w:rPr>
      </w:pPr>
      <w:bookmarkStart w:id="6" w:name="_Toc13069"/>
      <w:r>
        <w:rPr>
          <w:rFonts w:hint="eastAsia"/>
          <w:lang w:eastAsia="zh-CN"/>
        </w:rPr>
        <w:t>浏览器配置</w:t>
      </w:r>
      <w:bookmarkEnd w:id="6"/>
    </w:p>
    <w:p w14:paraId="0CF5C15C">
      <w:pPr>
        <w:spacing w:before="161"/>
        <w:rPr>
          <w:color w:val="FF0000"/>
          <w:sz w:val="28"/>
          <w:szCs w:val="28"/>
          <w:lang w:eastAsia="zh-CN"/>
        </w:rPr>
      </w:pPr>
      <w:r>
        <w:rPr>
          <w:color w:val="FF0000"/>
          <w:sz w:val="28"/>
          <w:szCs w:val="28"/>
          <w:lang w:eastAsia="zh-CN"/>
        </w:rPr>
        <w:t>本系统环境仅支持 IE 浏览器</w:t>
      </w:r>
      <w:r>
        <w:rPr>
          <w:rFonts w:hint="eastAsia"/>
          <w:color w:val="FF0000"/>
          <w:sz w:val="28"/>
          <w:szCs w:val="28"/>
          <w:lang w:eastAsia="zh-CN"/>
        </w:rPr>
        <w:t>或使用IE兼容模式的浏览器，</w:t>
      </w:r>
      <w:r>
        <w:rPr>
          <w:color w:val="FF0000"/>
          <w:sz w:val="28"/>
          <w:szCs w:val="28"/>
          <w:lang w:eastAsia="zh-CN"/>
        </w:rPr>
        <w:t>为了让系统插件能够正常工作，请</w:t>
      </w:r>
      <w:r>
        <w:rPr>
          <w:rFonts w:hint="eastAsia"/>
          <w:color w:val="FF0000"/>
          <w:sz w:val="28"/>
          <w:szCs w:val="28"/>
          <w:lang w:eastAsia="zh-CN"/>
        </w:rPr>
        <w:t>选择一种浏览器并</w:t>
      </w:r>
      <w:r>
        <w:rPr>
          <w:color w:val="FF0000"/>
          <w:sz w:val="28"/>
          <w:szCs w:val="28"/>
          <w:lang w:eastAsia="zh-CN"/>
        </w:rPr>
        <w:t>按照</w:t>
      </w:r>
      <w:r>
        <w:rPr>
          <w:rFonts w:hint="eastAsia"/>
          <w:color w:val="FF0000"/>
          <w:sz w:val="28"/>
          <w:szCs w:val="28"/>
          <w:lang w:eastAsia="zh-CN"/>
        </w:rPr>
        <w:t>相应</w:t>
      </w:r>
      <w:r>
        <w:rPr>
          <w:color w:val="FF0000"/>
          <w:sz w:val="28"/>
          <w:szCs w:val="28"/>
          <w:lang w:eastAsia="zh-CN"/>
        </w:rPr>
        <w:t>步骤进行浏览器的配置。</w:t>
      </w:r>
    </w:p>
    <w:p w14:paraId="68D5C535">
      <w:pPr>
        <w:pStyle w:val="4"/>
        <w:rPr>
          <w:lang w:eastAsia="zh-CN"/>
        </w:rPr>
      </w:pPr>
      <w:bookmarkStart w:id="7" w:name="_Toc5277"/>
      <w:r>
        <w:rPr>
          <w:rFonts w:hint="eastAsia"/>
          <w:lang w:eastAsia="zh-CN"/>
        </w:rPr>
        <w:t>1.2.1、Edge浏览器配置</w:t>
      </w:r>
      <w:bookmarkEnd w:id="7"/>
      <w:r>
        <w:rPr>
          <w:lang w:eastAsia="zh-CN"/>
        </w:rPr>
        <w:tab/>
      </w:r>
    </w:p>
    <w:p w14:paraId="2C58EFA1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1、请使用Edge浏览器。打开浏览器，在右上角点击设置</w:t>
      </w:r>
      <w:r>
        <w:rPr>
          <w:rFonts w:hint="eastAsia"/>
          <w:color w:val="FF0000"/>
          <w:sz w:val="20"/>
          <w:szCs w:val="20"/>
          <w:lang w:eastAsia="zh-CN"/>
        </w:rPr>
        <w:t>【…】</w:t>
      </w:r>
      <w:r>
        <w:rPr>
          <w:rFonts w:hint="eastAsia"/>
          <w:sz w:val="20"/>
          <w:szCs w:val="20"/>
          <w:lang w:eastAsia="zh-CN"/>
        </w:rPr>
        <w:t>，在下拉列表中点击</w:t>
      </w:r>
      <w:r>
        <w:rPr>
          <w:rFonts w:hint="eastAsia"/>
          <w:color w:val="FF0000"/>
          <w:sz w:val="20"/>
          <w:szCs w:val="20"/>
          <w:lang w:eastAsia="zh-CN"/>
        </w:rPr>
        <w:t>【设置】</w:t>
      </w:r>
      <w:r>
        <w:rPr>
          <w:rFonts w:hint="eastAsia"/>
          <w:sz w:val="20"/>
          <w:szCs w:val="20"/>
          <w:lang w:eastAsia="zh-CN"/>
        </w:rPr>
        <w:t>。</w:t>
      </w:r>
    </w:p>
    <w:p w14:paraId="26C90903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63240"/>
            <wp:effectExtent l="0" t="0" r="0" b="0"/>
            <wp:docPr id="1175972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7211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842F">
      <w:pPr>
        <w:spacing w:before="161"/>
        <w:rPr>
          <w:sz w:val="20"/>
          <w:szCs w:val="20"/>
          <w:lang w:eastAsia="zh-CN"/>
        </w:rPr>
      </w:pPr>
    </w:p>
    <w:p w14:paraId="05C2A349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2、在设置页面中先点击左侧</w:t>
      </w:r>
      <w:r>
        <w:rPr>
          <w:rFonts w:hint="eastAsia"/>
          <w:color w:val="FF0000"/>
          <w:sz w:val="20"/>
          <w:szCs w:val="20"/>
          <w:lang w:eastAsia="zh-CN"/>
        </w:rPr>
        <w:t>【默认浏览器】</w:t>
      </w:r>
      <w:r>
        <w:rPr>
          <w:rFonts w:hint="eastAsia"/>
          <w:sz w:val="20"/>
          <w:szCs w:val="20"/>
          <w:lang w:eastAsia="zh-CN"/>
        </w:rPr>
        <w:t>，在右侧</w:t>
      </w:r>
      <w:r>
        <w:rPr>
          <w:sz w:val="20"/>
          <w:szCs w:val="20"/>
          <w:lang w:eastAsia="zh-CN"/>
        </w:rPr>
        <w:t>Internet Explorer 兼容性</w:t>
      </w:r>
      <w:r>
        <w:rPr>
          <w:rFonts w:hint="eastAsia"/>
          <w:sz w:val="20"/>
          <w:szCs w:val="20"/>
          <w:lang w:eastAsia="zh-CN"/>
        </w:rPr>
        <w:t>中，将“允许在</w:t>
      </w:r>
      <w:r>
        <w:rPr>
          <w:sz w:val="20"/>
          <w:szCs w:val="20"/>
          <w:lang w:eastAsia="zh-CN"/>
        </w:rPr>
        <w:t xml:space="preserve"> Internet Explorer 模式下重新加载网站 (IE 模式)</w:t>
      </w:r>
      <w:r>
        <w:rPr>
          <w:rFonts w:hint="eastAsia"/>
          <w:sz w:val="20"/>
          <w:szCs w:val="20"/>
          <w:lang w:eastAsia="zh-CN"/>
        </w:rPr>
        <w:t>”修改为</w:t>
      </w:r>
      <w:r>
        <w:rPr>
          <w:rFonts w:hint="eastAsia"/>
          <w:color w:val="FF0000"/>
          <w:sz w:val="20"/>
          <w:szCs w:val="20"/>
          <w:lang w:eastAsia="zh-CN"/>
        </w:rPr>
        <w:t>【允许】</w:t>
      </w:r>
      <w:r>
        <w:rPr>
          <w:rFonts w:hint="eastAsia"/>
          <w:sz w:val="20"/>
          <w:szCs w:val="20"/>
          <w:lang w:eastAsia="zh-CN"/>
        </w:rPr>
        <w:t>。</w:t>
      </w:r>
    </w:p>
    <w:p w14:paraId="234AD20E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66415"/>
            <wp:effectExtent l="0" t="0" r="0" b="0"/>
            <wp:docPr id="640114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1423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54EA">
      <w:pPr>
        <w:spacing w:before="161"/>
        <w:rPr>
          <w:sz w:val="20"/>
          <w:szCs w:val="20"/>
          <w:lang w:eastAsia="zh-CN"/>
        </w:rPr>
      </w:pPr>
    </w:p>
    <w:p w14:paraId="5B5B3860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3、在右上角点击设置</w:t>
      </w:r>
      <w:r>
        <w:rPr>
          <w:rFonts w:hint="eastAsia"/>
          <w:color w:val="FF0000"/>
          <w:sz w:val="20"/>
          <w:szCs w:val="20"/>
          <w:lang w:eastAsia="zh-CN"/>
        </w:rPr>
        <w:t>【…】</w:t>
      </w:r>
      <w:r>
        <w:rPr>
          <w:rFonts w:hint="eastAsia"/>
          <w:sz w:val="20"/>
          <w:szCs w:val="20"/>
          <w:lang w:eastAsia="zh-CN"/>
        </w:rPr>
        <w:t>，在下拉列表中点击</w:t>
      </w:r>
      <w:r>
        <w:rPr>
          <w:rFonts w:hint="eastAsia"/>
          <w:color w:val="FF0000"/>
          <w:sz w:val="20"/>
          <w:szCs w:val="20"/>
          <w:lang w:eastAsia="zh-CN"/>
        </w:rPr>
        <w:t>【在</w:t>
      </w:r>
      <w:r>
        <w:rPr>
          <w:color w:val="FF0000"/>
          <w:sz w:val="20"/>
          <w:szCs w:val="20"/>
          <w:lang w:eastAsia="zh-CN"/>
        </w:rPr>
        <w:t xml:space="preserve"> Internet Explorer 模式下重新加载</w:t>
      </w:r>
      <w:r>
        <w:rPr>
          <w:rFonts w:hint="eastAsia"/>
          <w:color w:val="FF0000"/>
          <w:sz w:val="20"/>
          <w:szCs w:val="20"/>
          <w:lang w:eastAsia="zh-CN"/>
        </w:rPr>
        <w:t>】</w:t>
      </w:r>
      <w:r>
        <w:rPr>
          <w:rFonts w:hint="eastAsia"/>
          <w:sz w:val="20"/>
          <w:szCs w:val="20"/>
          <w:lang w:eastAsia="zh-CN"/>
        </w:rPr>
        <w:t>。</w:t>
      </w:r>
    </w:p>
    <w:p w14:paraId="440FB2DF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51810"/>
            <wp:effectExtent l="0" t="0" r="0" b="0"/>
            <wp:docPr id="149052400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2400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CDCE">
      <w:pPr>
        <w:spacing w:before="161"/>
        <w:rPr>
          <w:sz w:val="20"/>
          <w:szCs w:val="20"/>
          <w:lang w:eastAsia="zh-CN"/>
        </w:rPr>
      </w:pPr>
    </w:p>
    <w:p w14:paraId="290352E3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4、当前已在兼容模式下完成重新加载，点击CA登录，输入CA账号密码完成登录。</w:t>
      </w:r>
    </w:p>
    <w:p w14:paraId="1AF08238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51810"/>
            <wp:effectExtent l="0" t="0" r="0" b="0"/>
            <wp:docPr id="40005949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59494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FD1B">
      <w:pPr>
        <w:autoSpaceDE/>
        <w:autoSpaceDN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</w:p>
    <w:p w14:paraId="56A76257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5、浏览器如果底部弹出允许提示，需要点击允许后浏览器才可以使用CA驱动，进入平台后弹出的CA提示都点允许即可。</w:t>
      </w:r>
    </w:p>
    <w:p w14:paraId="30CB05D7">
      <w:pPr>
        <w:autoSpaceDE/>
        <w:autoSpaceDN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drawing>
          <wp:inline distT="0" distB="0" distL="114300" distR="114300">
            <wp:extent cx="5273040" cy="2954655"/>
            <wp:effectExtent l="0" t="0" r="0" b="1905"/>
            <wp:docPr id="1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4EBB">
      <w:pPr>
        <w:pStyle w:val="4"/>
        <w:rPr>
          <w:lang w:eastAsia="zh-CN"/>
        </w:rPr>
      </w:pPr>
    </w:p>
    <w:p w14:paraId="7278D8B9">
      <w:pPr>
        <w:rPr>
          <w:rFonts w:eastAsiaTheme="majorEastAsia"/>
          <w:b/>
          <w:bCs/>
          <w:sz w:val="32"/>
          <w:szCs w:val="32"/>
          <w:lang w:eastAsia="zh-CN"/>
        </w:rPr>
      </w:pPr>
      <w:r>
        <w:rPr>
          <w:lang w:eastAsia="zh-CN"/>
        </w:rPr>
        <w:br w:type="page"/>
      </w:r>
    </w:p>
    <w:p w14:paraId="53706348">
      <w:pPr>
        <w:pStyle w:val="4"/>
        <w:rPr>
          <w:lang w:eastAsia="zh-CN"/>
        </w:rPr>
      </w:pPr>
      <w:bookmarkStart w:id="8" w:name="_Toc17167"/>
      <w:r>
        <w:rPr>
          <w:rFonts w:hint="eastAsia"/>
          <w:lang w:eastAsia="zh-CN"/>
        </w:rPr>
        <w:t>1.2.2、360浏览器（360极速浏览器）配置</w:t>
      </w:r>
      <w:bookmarkEnd w:id="8"/>
      <w:r>
        <w:rPr>
          <w:lang w:eastAsia="zh-CN"/>
        </w:rPr>
        <w:tab/>
      </w:r>
    </w:p>
    <w:p w14:paraId="179711FE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1、请使用360浏览器/360极速浏览器。打开浏览器，在网址右侧点击设置</w:t>
      </w:r>
      <w:r>
        <w:rPr>
          <w:rFonts w:hint="eastAsia"/>
          <w:color w:val="FF0000"/>
          <w:sz w:val="20"/>
          <w:szCs w:val="20"/>
          <w:lang w:eastAsia="zh-CN"/>
        </w:rPr>
        <w:t>【…】</w:t>
      </w:r>
      <w:r>
        <w:rPr>
          <w:rFonts w:hint="eastAsia"/>
          <w:sz w:val="20"/>
          <w:szCs w:val="20"/>
          <w:lang w:eastAsia="zh-CN"/>
        </w:rPr>
        <w:t>，在下拉列表中点击</w:t>
      </w:r>
      <w:r>
        <w:rPr>
          <w:rFonts w:hint="eastAsia"/>
          <w:color w:val="FF0000"/>
          <w:sz w:val="20"/>
          <w:szCs w:val="20"/>
          <w:lang w:eastAsia="zh-CN"/>
        </w:rPr>
        <w:t>【智能切核】，</w:t>
      </w:r>
      <w:r>
        <w:rPr>
          <w:rFonts w:hint="eastAsia"/>
          <w:sz w:val="20"/>
          <w:szCs w:val="20"/>
          <w:lang w:eastAsia="zh-CN"/>
        </w:rPr>
        <w:t>选择</w:t>
      </w:r>
      <w:r>
        <w:rPr>
          <w:rFonts w:hint="eastAsia"/>
          <w:color w:val="FF0000"/>
          <w:sz w:val="20"/>
          <w:szCs w:val="20"/>
          <w:lang w:eastAsia="zh-CN"/>
        </w:rPr>
        <w:t>【兼容模式】</w:t>
      </w:r>
      <w:r>
        <w:rPr>
          <w:rFonts w:hint="eastAsia"/>
          <w:sz w:val="20"/>
          <w:szCs w:val="20"/>
          <w:lang w:eastAsia="zh-CN"/>
        </w:rPr>
        <w:t>。</w:t>
      </w:r>
    </w:p>
    <w:p w14:paraId="5A9938BE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72130"/>
            <wp:effectExtent l="0" t="0" r="0" b="0"/>
            <wp:docPr id="52969504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9504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E29A">
      <w:pPr>
        <w:spacing w:before="161"/>
        <w:rPr>
          <w:sz w:val="28"/>
          <w:lang w:eastAsia="zh-CN"/>
        </w:rPr>
      </w:pPr>
    </w:p>
    <w:p w14:paraId="3C277C5C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2、浏览器如果底部弹出允许提示，需要点击允许后浏览器才可以使用CA驱动，进入平台后弹出的CA提示都点允许即可。</w:t>
      </w:r>
    </w:p>
    <w:p w14:paraId="0ECCBB6D">
      <w:pPr>
        <w:autoSpaceDE/>
        <w:autoSpaceDN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drawing>
          <wp:inline distT="0" distB="0" distL="114300" distR="114300">
            <wp:extent cx="5273040" cy="2954655"/>
            <wp:effectExtent l="0" t="0" r="0" b="1905"/>
            <wp:docPr id="838981647" name="图片 838981647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81647" name="图片 838981647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7BF0">
      <w:pPr>
        <w:spacing w:before="161"/>
        <w:rPr>
          <w:sz w:val="28"/>
          <w:lang w:eastAsia="zh-CN"/>
        </w:rPr>
      </w:pPr>
    </w:p>
    <w:p w14:paraId="62E7801F">
      <w:pPr>
        <w:rPr>
          <w:rFonts w:eastAsiaTheme="majorEastAsia"/>
          <w:b/>
          <w:bCs/>
          <w:sz w:val="32"/>
          <w:szCs w:val="32"/>
          <w:lang w:eastAsia="zh-CN"/>
        </w:rPr>
      </w:pPr>
      <w:r>
        <w:rPr>
          <w:lang w:eastAsia="zh-CN"/>
        </w:rPr>
        <w:br w:type="page"/>
      </w:r>
    </w:p>
    <w:p w14:paraId="09BAE693">
      <w:pPr>
        <w:pStyle w:val="4"/>
        <w:rPr>
          <w:lang w:eastAsia="zh-CN"/>
        </w:rPr>
      </w:pPr>
      <w:bookmarkStart w:id="9" w:name="_Toc15304"/>
      <w:r>
        <w:rPr>
          <w:rFonts w:hint="eastAsia"/>
          <w:lang w:eastAsia="zh-CN"/>
        </w:rPr>
        <w:t>1.2.3、IE浏览器配置</w:t>
      </w:r>
      <w:bookmarkEnd w:id="9"/>
      <w:r>
        <w:rPr>
          <w:lang w:eastAsia="zh-CN"/>
        </w:rPr>
        <w:tab/>
      </w:r>
    </w:p>
    <w:p w14:paraId="31746EFF">
      <w:pPr>
        <w:rPr>
          <w:b/>
          <w:bCs/>
          <w:color w:val="FF0000"/>
          <w:sz w:val="28"/>
          <w:szCs w:val="28"/>
          <w:lang w:eastAsia="zh-CN"/>
        </w:rPr>
      </w:pPr>
      <w:r>
        <w:rPr>
          <w:b/>
          <w:bCs/>
          <w:color w:val="FF0000"/>
          <w:sz w:val="28"/>
          <w:szCs w:val="28"/>
          <w:lang w:eastAsia="zh-CN"/>
        </w:rPr>
        <w:t>Internet 选项</w:t>
      </w:r>
    </w:p>
    <w:p w14:paraId="64D0BF79">
      <w:pPr>
        <w:pStyle w:val="5"/>
        <w:spacing w:before="158"/>
        <w:rPr>
          <w:lang w:eastAsia="zh-CN"/>
        </w:rPr>
      </w:pPr>
      <w:bookmarkStart w:id="10" w:name="_bookmark4"/>
      <w:bookmarkEnd w:id="10"/>
      <w:bookmarkStart w:id="11" w:name="1.2.1、___Internet_选项"/>
      <w:bookmarkEnd w:id="11"/>
      <w:bookmarkStart w:id="12" w:name="_bookmark3"/>
      <w:bookmarkEnd w:id="12"/>
      <w:bookmarkStart w:id="13" w:name="1.2、__浏览器配置"/>
      <w:bookmarkEnd w:id="13"/>
      <w:r>
        <w:rPr>
          <w:rFonts w:hint="eastAsia"/>
          <w:lang w:eastAsia="zh-CN"/>
        </w:rPr>
        <w:t>1、</w:t>
      </w:r>
      <w:r>
        <w:rPr>
          <w:rFonts w:hint="eastAsia" w:ascii="黑体" w:hAnsi="黑体" w:eastAsia="黑体"/>
          <w:b/>
          <w:bCs/>
          <w:lang w:eastAsia="zh-CN"/>
        </w:rPr>
        <w:t>请使用IE浏览器。</w:t>
      </w:r>
      <w:r>
        <w:rPr>
          <w:lang w:eastAsia="zh-CN"/>
        </w:rPr>
        <w:t>打开浏览器，在“工具”菜单→“Internet 选项”，如下图：</w:t>
      </w:r>
    </w:p>
    <w:p w14:paraId="7EBD3C7D">
      <w:pPr>
        <w:pStyle w:val="5"/>
        <w:spacing w:before="6"/>
        <w:rPr>
          <w:sz w:val="15"/>
          <w:lang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1995805</wp:posOffset>
            </wp:positionH>
            <wp:positionV relativeFrom="paragraph">
              <wp:posOffset>151130</wp:posOffset>
            </wp:positionV>
            <wp:extent cx="3576955" cy="3162300"/>
            <wp:effectExtent l="0" t="0" r="0" b="0"/>
            <wp:wrapTopAndBottom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046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96138">
      <w:pPr>
        <w:pStyle w:val="5"/>
        <w:spacing w:before="31" w:after="53"/>
        <w:ind w:left="149"/>
        <w:rPr>
          <w:lang w:eastAsia="zh-CN"/>
        </w:rPr>
      </w:pPr>
    </w:p>
    <w:p w14:paraId="2C14BAF9">
      <w:pPr>
        <w:pStyle w:val="5"/>
        <w:spacing w:before="31" w:after="53"/>
        <w:ind w:left="149"/>
        <w:rPr>
          <w:lang w:eastAsia="zh-CN"/>
        </w:rPr>
      </w:pPr>
      <w:r>
        <w:rPr>
          <w:lang w:eastAsia="zh-CN"/>
        </w:rPr>
        <w:t>2、弹出对话框之后，请选择“安全”选项卡， 具体的界面， 如下图：</w:t>
      </w:r>
    </w:p>
    <w:p w14:paraId="672761F5">
      <w:pPr>
        <w:pStyle w:val="5"/>
        <w:spacing w:before="31" w:after="53"/>
        <w:ind w:left="149"/>
        <w:rPr>
          <w:lang w:eastAsia="zh-CN"/>
        </w:rPr>
      </w:pPr>
    </w:p>
    <w:p w14:paraId="51D312EF">
      <w:pPr>
        <w:pStyle w:val="5"/>
        <w:ind w:left="1988"/>
      </w:pPr>
      <w:r>
        <w:drawing>
          <wp:inline distT="0" distB="0" distL="0" distR="0">
            <wp:extent cx="2923540" cy="3486150"/>
            <wp:effectExtent l="0" t="0" r="0" b="0"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19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830E">
      <w:pPr>
        <w:pStyle w:val="5"/>
        <w:spacing w:before="123"/>
        <w:ind w:left="151"/>
        <w:rPr>
          <w:lang w:eastAsia="zh-CN"/>
        </w:rPr>
      </w:pPr>
    </w:p>
    <w:p w14:paraId="453FA841">
      <w:pPr>
        <w:rPr>
          <w:sz w:val="20"/>
          <w:szCs w:val="20"/>
          <w:lang w:eastAsia="zh-CN"/>
        </w:rPr>
      </w:pPr>
      <w:r>
        <w:rPr>
          <w:lang w:eastAsia="zh-CN"/>
        </w:rPr>
        <w:br w:type="page"/>
      </w:r>
    </w:p>
    <w:p w14:paraId="7CF9AC93">
      <w:pPr>
        <w:pStyle w:val="5"/>
        <w:numPr>
          <w:ilvl w:val="0"/>
          <w:numId w:val="3"/>
        </w:numPr>
        <w:spacing w:before="123"/>
        <w:rPr>
          <w:lang w:eastAsia="zh-CN"/>
        </w:rPr>
      </w:pPr>
      <w:r>
        <w:rPr>
          <w:lang w:eastAsia="zh-CN"/>
        </w:rPr>
        <w:t>点击绿色的“可信站点”的图片，如下图：</w:t>
      </w:r>
    </w:p>
    <w:p w14:paraId="493E971A">
      <w:pPr>
        <w:pStyle w:val="5"/>
        <w:spacing w:before="123"/>
        <w:ind w:left="151"/>
        <w:rPr>
          <w:sz w:val="25"/>
          <w:lang w:eastAsia="zh-CN"/>
        </w:rPr>
      </w:pPr>
    </w:p>
    <w:p w14:paraId="7B92D444">
      <w:pPr>
        <w:pStyle w:val="5"/>
        <w:ind w:left="1412"/>
      </w:pPr>
      <w:r>
        <w:drawing>
          <wp:inline distT="0" distB="0" distL="0" distR="0">
            <wp:extent cx="3658235" cy="3905250"/>
            <wp:effectExtent l="0" t="0" r="0" b="0"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07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D48B">
      <w:pPr>
        <w:pStyle w:val="5"/>
        <w:spacing w:before="103"/>
        <w:ind w:left="144"/>
        <w:rPr>
          <w:lang w:eastAsia="zh-CN"/>
        </w:rPr>
      </w:pPr>
    </w:p>
    <w:p w14:paraId="670A9EB8">
      <w:pPr>
        <w:pStyle w:val="5"/>
        <w:spacing w:before="103"/>
        <w:rPr>
          <w:lang w:eastAsia="zh-CN"/>
        </w:rPr>
      </w:pPr>
      <w:r>
        <w:rPr>
          <w:rFonts w:hint="eastAsia"/>
          <w:lang w:eastAsia="zh-CN"/>
        </w:rPr>
        <w:t>4、</w:t>
      </w:r>
      <w:r>
        <w:rPr>
          <w:lang w:eastAsia="zh-CN"/>
        </w:rPr>
        <w:t>点击“站点”按钮，出现如下对话框， 如下图：</w:t>
      </w:r>
    </w:p>
    <w:p w14:paraId="700E2ABF">
      <w:pPr>
        <w:pStyle w:val="5"/>
        <w:spacing w:before="103"/>
        <w:ind w:left="440"/>
        <w:rPr>
          <w:lang w:eastAsia="zh-CN"/>
        </w:rPr>
      </w:pPr>
    </w:p>
    <w:p w14:paraId="335D0F82">
      <w:pPr>
        <w:pStyle w:val="5"/>
        <w:spacing w:before="103"/>
        <w:ind w:left="144"/>
        <w:jc w:val="center"/>
        <w:rPr>
          <w:lang w:eastAsia="zh-CN"/>
        </w:rPr>
      </w:pPr>
      <w:r>
        <w:drawing>
          <wp:inline distT="0" distB="0" distL="0" distR="0">
            <wp:extent cx="4232910" cy="3444875"/>
            <wp:effectExtent l="0" t="0" r="0" b="0"/>
            <wp:docPr id="1344681272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81272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1853" cy="34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45BB">
      <w:pPr>
        <w:pStyle w:val="5"/>
        <w:spacing w:before="105"/>
        <w:ind w:left="144"/>
        <w:rPr>
          <w:lang w:eastAsia="zh-CN"/>
        </w:rPr>
      </w:pPr>
      <w:r>
        <w:rPr>
          <w:lang w:eastAsia="zh-CN"/>
        </w:rPr>
        <w:t>输入系统服务器的 IP 地址，然后点击“添加”按钮完成添加，</w:t>
      </w:r>
    </w:p>
    <w:p w14:paraId="5AF8A53C">
      <w:pPr>
        <w:pStyle w:val="5"/>
        <w:spacing w:before="105"/>
        <w:ind w:left="144"/>
        <w:rPr>
          <w:lang w:eastAsia="zh-CN"/>
        </w:rPr>
      </w:pPr>
      <w:r>
        <w:rPr>
          <w:lang w:eastAsia="zh-CN"/>
        </w:rPr>
        <w:t xml:space="preserve"> 再按“关闭”按钮退出。</w:t>
      </w:r>
    </w:p>
    <w:p w14:paraId="589FDCDA">
      <w:pPr>
        <w:rPr>
          <w:sz w:val="20"/>
          <w:szCs w:val="20"/>
          <w:lang w:eastAsia="zh-CN"/>
        </w:rPr>
      </w:pPr>
      <w:r>
        <w:rPr>
          <w:lang w:eastAsia="zh-CN"/>
        </w:rPr>
        <w:br w:type="page"/>
      </w:r>
      <w:r>
        <w:rPr>
          <w:lang w:eastAsia="zh-CN"/>
        </w:rPr>
        <w:t>5、设置自定义安全级别， 开放Activex 的访问权限， 如下图：</w:t>
      </w:r>
    </w:p>
    <w:p w14:paraId="187D530B">
      <w:pPr>
        <w:rPr>
          <w:lang w:eastAsia="zh-CN"/>
        </w:rPr>
      </w:pPr>
    </w:p>
    <w:p w14:paraId="454A77DB">
      <w:pPr>
        <w:jc w:val="center"/>
        <w:rPr>
          <w:lang w:eastAsia="zh-CN"/>
        </w:rPr>
      </w:pPr>
      <w:r>
        <w:drawing>
          <wp:inline distT="0" distB="0" distL="0" distR="0">
            <wp:extent cx="3542665" cy="4162425"/>
            <wp:effectExtent l="0" t="0" r="0" b="0"/>
            <wp:docPr id="35" name="image33.jpeg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3.jpeg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03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AA91">
      <w:pPr>
        <w:rPr>
          <w:lang w:eastAsia="zh-CN"/>
        </w:rPr>
      </w:pPr>
    </w:p>
    <w:p w14:paraId="3C303EF1">
      <w:pPr>
        <w:pStyle w:val="5"/>
        <w:spacing w:before="38"/>
        <w:ind w:left="144"/>
        <w:rPr>
          <w:lang w:eastAsia="zh-CN"/>
        </w:rPr>
      </w:pPr>
      <w:r>
        <w:rPr>
          <w:lang w:eastAsia="zh-CN"/>
        </w:rPr>
        <w:t>会出现一个窗口，把其中的 Activex 控件和插件的设置全部改为启用，如下图：</w:t>
      </w:r>
    </w:p>
    <w:p w14:paraId="4D43271E">
      <w:pPr>
        <w:pStyle w:val="5"/>
        <w:spacing w:before="38"/>
        <w:ind w:left="144"/>
        <w:rPr>
          <w:lang w:eastAsia="zh-CN"/>
        </w:rPr>
      </w:pPr>
    </w:p>
    <w:p w14:paraId="42E345D2">
      <w:pPr>
        <w:pStyle w:val="5"/>
        <w:spacing w:before="38"/>
        <w:ind w:left="144"/>
        <w:jc w:val="center"/>
        <w:rPr>
          <w:lang w:eastAsia="zh-CN"/>
        </w:rPr>
      </w:pPr>
      <w:r>
        <w:drawing>
          <wp:inline distT="0" distB="0" distL="0" distR="0">
            <wp:extent cx="3585845" cy="3826510"/>
            <wp:effectExtent l="0" t="0" r="0" b="0"/>
            <wp:docPr id="20804346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3469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1427" cy="38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5613B">
      <w:pPr>
        <w:rPr>
          <w:lang w:eastAsia="zh-CN"/>
        </w:rPr>
        <w:sectPr>
          <w:footerReference r:id="rId5" w:type="default"/>
          <w:pgSz w:w="11910" w:h="16840"/>
          <w:pgMar w:top="900" w:right="1240" w:bottom="1120" w:left="1660" w:header="634" w:footer="937" w:gutter="0"/>
          <w:cols w:space="720" w:num="1"/>
        </w:sectPr>
      </w:pPr>
    </w:p>
    <w:p w14:paraId="677833FE">
      <w:pPr>
        <w:pStyle w:val="5"/>
        <w:spacing w:before="84"/>
        <w:rPr>
          <w:lang w:eastAsia="zh-CN"/>
        </w:rPr>
      </w:pPr>
    </w:p>
    <w:p w14:paraId="2963B0A6">
      <w:pPr>
        <w:pStyle w:val="5"/>
        <w:spacing w:before="84"/>
        <w:ind w:left="147"/>
        <w:rPr>
          <w:lang w:eastAsia="zh-CN"/>
        </w:rPr>
      </w:pPr>
      <w:r>
        <w:rPr>
          <w:lang w:eastAsia="zh-CN"/>
        </w:rPr>
        <w:t>文件下载设置， 开放文件下载的权限： 设置为启用， 如下图：</w:t>
      </w:r>
    </w:p>
    <w:p w14:paraId="34416562">
      <w:pPr>
        <w:rPr>
          <w:lang w:eastAsia="zh-CN"/>
        </w:rPr>
      </w:pPr>
    </w:p>
    <w:p w14:paraId="73D9F2C3">
      <w:pPr>
        <w:jc w:val="center"/>
        <w:rPr>
          <w:lang w:eastAsia="zh-CN"/>
        </w:rPr>
      </w:pPr>
      <w:r>
        <w:drawing>
          <wp:inline distT="0" distB="0" distL="0" distR="0">
            <wp:extent cx="3535680" cy="3714750"/>
            <wp:effectExtent l="0" t="0" r="0" b="0"/>
            <wp:docPr id="39" name="image35.jpeg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5.jpeg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134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2250">
      <w:pPr>
        <w:rPr>
          <w:lang w:eastAsia="zh-CN"/>
        </w:rPr>
      </w:pPr>
    </w:p>
    <w:p w14:paraId="6A3924E3">
      <w:pPr>
        <w:rPr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关闭拦截工具</w:t>
      </w:r>
    </w:p>
    <w:p w14:paraId="6C409B50">
      <w:pPr>
        <w:rPr>
          <w:b/>
          <w:bCs/>
          <w:color w:val="FF0000"/>
          <w:sz w:val="28"/>
          <w:szCs w:val="28"/>
          <w:lang w:eastAsia="zh-CN"/>
        </w:rPr>
      </w:pPr>
    </w:p>
    <w:p w14:paraId="0D487F64">
      <w:pPr>
        <w:pStyle w:val="5"/>
        <w:spacing w:before="71" w:line="261" w:lineRule="auto"/>
        <w:ind w:right="776" w:firstLine="400" w:firstLineChars="200"/>
        <w:rPr>
          <w:lang w:eastAsia="zh-CN"/>
        </w:rPr>
      </w:pPr>
      <w:bookmarkStart w:id="14" w:name="_bookmark5"/>
      <w:bookmarkEnd w:id="14"/>
      <w:bookmarkStart w:id="15" w:name="1.2.2、___关闭拦截工具"/>
      <w:bookmarkEnd w:id="15"/>
      <w:r>
        <w:rPr>
          <w:lang w:eastAsia="zh-CN"/>
        </w:rPr>
        <w:t>上述操作完成后，如果系统中某些功能仍不能使用，请将拦截工具关闭再</w:t>
      </w:r>
      <w:r>
        <w:rPr>
          <w:rFonts w:hint="eastAsia"/>
          <w:lang w:eastAsia="zh-CN"/>
        </w:rPr>
        <w:t>使</w:t>
      </w:r>
      <w:r>
        <w:rPr>
          <w:lang w:eastAsia="zh-CN"/>
        </w:rPr>
        <w:t>用。 比如</w:t>
      </w:r>
      <w:r>
        <w:rPr>
          <w:rFonts w:hint="eastAsia"/>
          <w:lang w:eastAsia="zh-CN"/>
        </w:rPr>
        <w:t>在</w:t>
      </w:r>
      <w:r>
        <w:rPr>
          <w:lang w:eastAsia="zh-CN"/>
        </w:rPr>
        <w:t>windows工具栏中关闭弹出窗口阻止程序的操作， 如下图：</w:t>
      </w:r>
    </w:p>
    <w:p w14:paraId="17ED17AE">
      <w:pPr>
        <w:pStyle w:val="5"/>
        <w:spacing w:before="71" w:line="261" w:lineRule="auto"/>
        <w:ind w:right="776" w:firstLine="400" w:firstLineChars="200"/>
        <w:rPr>
          <w:lang w:eastAsia="zh-CN"/>
        </w:rPr>
      </w:pPr>
    </w:p>
    <w:p w14:paraId="74A671EC">
      <w:pPr>
        <w:pStyle w:val="5"/>
        <w:spacing w:before="71" w:line="261" w:lineRule="auto"/>
        <w:ind w:right="776" w:firstLine="400" w:firstLineChars="200"/>
        <w:rPr>
          <w:lang w:eastAsia="zh-CN"/>
        </w:rPr>
      </w:pPr>
      <w:r>
        <w:drawing>
          <wp:inline distT="0" distB="0" distL="0" distR="0">
            <wp:extent cx="4632960" cy="2072640"/>
            <wp:effectExtent l="0" t="0" r="0" b="3810"/>
            <wp:docPr id="207612727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2727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BB38">
      <w:pPr>
        <w:spacing w:line="261" w:lineRule="auto"/>
        <w:rPr>
          <w:lang w:eastAsia="zh-CN"/>
        </w:rPr>
        <w:sectPr>
          <w:footerReference r:id="rId6" w:type="default"/>
          <w:pgSz w:w="11910" w:h="16840"/>
          <w:pgMar w:top="900" w:right="1240" w:bottom="1120" w:left="1660" w:header="634" w:footer="937" w:gutter="0"/>
          <w:cols w:space="720" w:num="1"/>
        </w:sectPr>
      </w:pPr>
    </w:p>
    <w:p w14:paraId="1942523E">
      <w:pPr>
        <w:pStyle w:val="2"/>
        <w:rPr>
          <w:lang w:eastAsia="zh-CN"/>
        </w:rPr>
      </w:pPr>
      <w:bookmarkStart w:id="16" w:name="_Toc3361"/>
      <w:r>
        <w:rPr>
          <w:rFonts w:hint="eastAsia"/>
          <w:lang w:eastAsia="zh-CN"/>
        </w:rPr>
        <w:t>二、招标人</w:t>
      </w:r>
      <w:r>
        <w:rPr>
          <w:rFonts w:hint="eastAsia"/>
          <w:lang w:val="en-US" w:eastAsia="zh-CN"/>
        </w:rPr>
        <w:t>注册</w:t>
      </w:r>
      <w:r>
        <w:rPr>
          <w:rFonts w:hint="eastAsia"/>
          <w:lang w:eastAsia="zh-CN"/>
        </w:rPr>
        <w:t>系统</w:t>
      </w:r>
      <w:bookmarkEnd w:id="16"/>
    </w:p>
    <w:p w14:paraId="5690445F">
      <w:pPr>
        <w:rPr>
          <w:lang w:eastAsia="zh-CN"/>
        </w:rPr>
      </w:pPr>
      <w:r>
        <w:rPr>
          <w:rFonts w:hint="eastAsia"/>
          <w:lang w:eastAsia="zh-CN"/>
        </w:rPr>
        <w:t>1、打开“嘉兴禾采联综合采购服务平台”，如下图：</w:t>
      </w:r>
    </w:p>
    <w:p w14:paraId="639DE9BE">
      <w:pPr>
        <w:rPr>
          <w:lang w:eastAsia="zh-CN"/>
        </w:rPr>
      </w:pPr>
      <w:r>
        <w:rPr>
          <w:rFonts w:hint="eastAsia"/>
          <w:lang w:eastAsia="zh-CN"/>
        </w:rPr>
        <w:t>网址：</w:t>
      </w:r>
      <w:r>
        <w:fldChar w:fldCharType="begin"/>
      </w:r>
      <w:r>
        <w:instrText xml:space="preserve"> HYPERLINK "http://www.jxcqgs.cn/TPBidder/memberLogin" </w:instrText>
      </w:r>
      <w:r>
        <w:fldChar w:fldCharType="separate"/>
      </w:r>
      <w:r>
        <w:rPr>
          <w:rStyle w:val="14"/>
          <w:color w:val="auto"/>
          <w:u w:val="none"/>
          <w:lang w:eastAsia="zh-CN"/>
        </w:rPr>
        <w:t>http://www.jxcqgs.cn/TPBidder/memberLogin</w:t>
      </w:r>
      <w:r>
        <w:rPr>
          <w:rStyle w:val="14"/>
          <w:color w:val="auto"/>
          <w:u w:val="none"/>
          <w:lang w:eastAsia="zh-CN"/>
        </w:rPr>
        <w:fldChar w:fldCharType="end"/>
      </w:r>
    </w:p>
    <w:p w14:paraId="0E597EEC">
      <w:pPr>
        <w:rPr>
          <w:lang w:eastAsia="zh-CN"/>
        </w:rPr>
      </w:pPr>
      <w:r>
        <w:drawing>
          <wp:inline distT="0" distB="0" distL="0" distR="0">
            <wp:extent cx="5721350" cy="2885440"/>
            <wp:effectExtent l="0" t="0" r="0" b="0"/>
            <wp:docPr id="58658758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87584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F949">
      <w:pPr>
        <w:rPr>
          <w:lang w:eastAsia="zh-CN"/>
        </w:rPr>
      </w:pPr>
    </w:p>
    <w:p w14:paraId="5E30DB66">
      <w:pPr>
        <w:rPr>
          <w:lang w:eastAsia="zh-CN"/>
        </w:rPr>
      </w:pPr>
      <w:r>
        <w:rPr>
          <w:rFonts w:hint="eastAsia"/>
          <w:lang w:eastAsia="zh-CN"/>
        </w:rPr>
        <w:t>2、输入用户名和密码后，点击“立即登录”按钮，进入系统，完成交易甲方信息录入。</w:t>
      </w:r>
    </w:p>
    <w:p w14:paraId="4DA5B3F3">
      <w:pPr>
        <w:ind w:firstLine="220" w:firstLineChars="100"/>
        <w:rPr>
          <w:rFonts w:hint="eastAsia"/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color w:val="FF0000"/>
          <w:lang w:eastAsia="zh-CN"/>
        </w:rPr>
        <w:t>【修改信息】</w:t>
      </w:r>
      <w:r>
        <w:rPr>
          <w:rFonts w:hint="eastAsia"/>
          <w:lang w:eastAsia="zh-CN"/>
        </w:rPr>
        <w:t>按钮，对基本信息进行填写，带</w:t>
      </w:r>
      <w:r>
        <w:rPr>
          <w:rFonts w:hint="eastAsia"/>
          <w:color w:val="FF0000"/>
          <w:lang w:eastAsia="zh-CN"/>
        </w:rPr>
        <w:t>*</w:t>
      </w:r>
      <w:r>
        <w:rPr>
          <w:rFonts w:hint="eastAsia"/>
          <w:lang w:eastAsia="zh-CN"/>
        </w:rPr>
        <w:t>的为必填项。</w:t>
      </w:r>
    </w:p>
    <w:p w14:paraId="59028BAC">
      <w:pPr>
        <w:rPr>
          <w:lang w:eastAsia="zh-CN"/>
        </w:rPr>
      </w:pPr>
      <w:r>
        <w:drawing>
          <wp:inline distT="0" distB="0" distL="0" distR="0">
            <wp:extent cx="5721350" cy="2885440"/>
            <wp:effectExtent l="0" t="0" r="0" b="0"/>
            <wp:docPr id="111096278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62783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22C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color w:val="FF0000"/>
          <w:lang w:eastAsia="zh-CN"/>
        </w:rPr>
        <w:t>【电子件管理】</w:t>
      </w:r>
      <w:r>
        <w:rPr>
          <w:rFonts w:hint="eastAsia"/>
          <w:lang w:eastAsia="zh-CN"/>
        </w:rPr>
        <w:t>，上传对应电子件。</w:t>
      </w:r>
    </w:p>
    <w:p w14:paraId="31063CA5">
      <w:pPr>
        <w:rPr>
          <w:lang w:eastAsia="zh-CN"/>
        </w:rPr>
      </w:pPr>
      <w:r>
        <w:drawing>
          <wp:inline distT="0" distB="0" distL="0" distR="0">
            <wp:extent cx="5721350" cy="2885440"/>
            <wp:effectExtent l="0" t="0" r="0" b="0"/>
            <wp:docPr id="140840283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02836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428F">
      <w:pPr>
        <w:rPr>
          <w:lang w:eastAsia="zh-CN"/>
        </w:rPr>
      </w:pPr>
      <w:r>
        <w:drawing>
          <wp:inline distT="0" distB="0" distL="0" distR="0">
            <wp:extent cx="5721350" cy="2885440"/>
            <wp:effectExtent l="0" t="0" r="0" b="0"/>
            <wp:docPr id="429457188" name="图片 1" descr="图形用户界面, 应用程序, 电子邮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57188" name="图片 1" descr="图形用户界面, 应用程序, 电子邮件, Teams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4F0F">
      <w:pPr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color w:val="FF0000"/>
          <w:lang w:eastAsia="zh-CN"/>
        </w:rPr>
        <w:t>【下一步】</w:t>
      </w:r>
      <w:r>
        <w:rPr>
          <w:rFonts w:hint="eastAsia"/>
          <w:lang w:eastAsia="zh-CN"/>
        </w:rPr>
        <w:t>，</w:t>
      </w:r>
      <w:r>
        <w:rPr>
          <w:rFonts w:hint="eastAsia"/>
          <w:color w:val="FF0000"/>
          <w:lang w:eastAsia="zh-CN"/>
        </w:rPr>
        <w:t>【提交信息】</w:t>
      </w:r>
      <w:r>
        <w:rPr>
          <w:rFonts w:hint="eastAsia"/>
          <w:lang w:eastAsia="zh-CN"/>
        </w:rPr>
        <w:t>，提交审核。</w:t>
      </w:r>
    </w:p>
    <w:p w14:paraId="65A3314D">
      <w:pPr>
        <w:rPr>
          <w:rFonts w:hint="eastAsia"/>
          <w:lang w:eastAsia="zh-CN"/>
        </w:rPr>
      </w:pPr>
      <w:r>
        <w:drawing>
          <wp:inline distT="0" distB="0" distL="0" distR="0">
            <wp:extent cx="5721350" cy="2799080"/>
            <wp:effectExtent l="0" t="0" r="0" b="0"/>
            <wp:docPr id="157466327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63277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6F85">
      <w:pPr>
        <w:pStyle w:val="2"/>
        <w:rPr>
          <w:rFonts w:hint="default"/>
          <w:lang w:val="en-US" w:eastAsia="zh-CN"/>
        </w:rPr>
      </w:pPr>
      <w:bookmarkStart w:id="17" w:name="_Toc20344"/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、项目</w:t>
      </w:r>
      <w:r>
        <w:rPr>
          <w:rFonts w:hint="eastAsia"/>
          <w:lang w:val="en-US" w:eastAsia="zh-CN"/>
        </w:rPr>
        <w:t>注册</w:t>
      </w:r>
      <w:bookmarkEnd w:id="17"/>
    </w:p>
    <w:p w14:paraId="013D08D7">
      <w:pPr>
        <w:pStyle w:val="4"/>
        <w:rPr>
          <w:rFonts w:hint="eastAsia"/>
          <w:lang w:eastAsia="zh-CN"/>
        </w:rPr>
      </w:pPr>
      <w:bookmarkStart w:id="18" w:name="_Toc27267"/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.1.1 项目注册</w:t>
      </w:r>
      <w:bookmarkEnd w:id="18"/>
    </w:p>
    <w:p w14:paraId="418B7A80">
      <w:pPr>
        <w:rPr>
          <w:lang w:eastAsia="zh-CN"/>
        </w:rPr>
      </w:pPr>
      <w:r>
        <w:rPr>
          <w:rFonts w:hint="eastAsia"/>
          <w:lang w:eastAsia="zh-CN"/>
        </w:rPr>
        <w:t xml:space="preserve"> 1、点击首页</w:t>
      </w:r>
      <w:r>
        <w:rPr>
          <w:rFonts w:hint="eastAsia"/>
          <w:color w:val="FF0000"/>
          <w:lang w:eastAsia="zh-CN"/>
        </w:rPr>
        <w:t>【采购业务】</w:t>
      </w:r>
      <w:r>
        <w:rPr>
          <w:rFonts w:hint="eastAsia"/>
          <w:lang w:eastAsia="zh-CN"/>
        </w:rPr>
        <w:t>，进入业务流程页面，</w:t>
      </w: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【计划注册】-【项目注册】-【新建项目】</w:t>
      </w:r>
      <w:r>
        <w:rPr>
          <w:rFonts w:hint="eastAsia"/>
          <w:lang w:val="en-US" w:eastAsia="zh-CN"/>
        </w:rPr>
        <w:t>。</w:t>
      </w:r>
      <w:r>
        <w:rPr>
          <w:rFonts w:hint="eastAsia"/>
          <w:lang w:eastAsia="zh-CN"/>
        </w:rPr>
        <w:t>如下图：</w:t>
      </w:r>
    </w:p>
    <w:p w14:paraId="03AA48C7">
      <w:r>
        <w:drawing>
          <wp:inline distT="0" distB="0" distL="114300" distR="114300">
            <wp:extent cx="5472430" cy="2388235"/>
            <wp:effectExtent l="0" t="0" r="1397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F5D6">
      <w:pPr>
        <w:numPr>
          <w:ilvl w:val="0"/>
          <w:numId w:val="4"/>
        </w:numPr>
        <w:ind w:left="1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新增后在项目修改页面，填写相应信息后提交即可。</w:t>
      </w:r>
    </w:p>
    <w:p w14:paraId="05EA7604">
      <w:pPr>
        <w:widowControl w:val="0"/>
        <w:numPr>
          <w:ilvl w:val="0"/>
          <w:numId w:val="0"/>
        </w:numPr>
        <w:autoSpaceDE w:val="0"/>
        <w:autoSpaceDN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80685" cy="2392680"/>
            <wp:effectExtent l="0" t="0" r="571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6DA8">
      <w:pPr>
        <w:pStyle w:val="4"/>
        <w:rPr>
          <w:rFonts w:hint="eastAsia"/>
          <w:lang w:val="en-US" w:eastAsia="zh-CN"/>
        </w:rPr>
      </w:pPr>
      <w:bookmarkStart w:id="19" w:name="_Toc9116"/>
      <w:r>
        <w:rPr>
          <w:rFonts w:hint="eastAsia"/>
          <w:lang w:val="en-US" w:eastAsia="zh-CN"/>
        </w:rPr>
        <w:t>3.1.2 项目受理</w:t>
      </w:r>
      <w:bookmarkEnd w:id="19"/>
    </w:p>
    <w:p w14:paraId="6028984C">
      <w:pPr>
        <w:rPr>
          <w:rFonts w:hint="default" w:asciiTheme="minorHAnsi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1、点击</w:t>
      </w:r>
      <w:r>
        <w:rPr>
          <w:rFonts w:hint="eastAsia" w:asciiTheme="minorHAnsi" w:eastAsiaTheme="minorEastAsia"/>
          <w:color w:val="FF0000"/>
          <w:lang w:val="en-US" w:eastAsia="zh-CN"/>
        </w:rPr>
        <w:t>【计划注册】-【项目受理】-【新增项目】</w:t>
      </w:r>
      <w:r>
        <w:rPr>
          <w:rFonts w:hint="eastAsia" w:asciiTheme="minorHAnsi" w:eastAsiaTheme="minorEastAsia"/>
          <w:lang w:val="en-US" w:eastAsia="zh-CN"/>
        </w:rPr>
        <w:t>，进入挑选页面，挑选对应的项目，确认即可。如下图</w:t>
      </w:r>
    </w:p>
    <w:p w14:paraId="413CD6BC">
      <w:r>
        <w:drawing>
          <wp:inline distT="0" distB="0" distL="114300" distR="114300">
            <wp:extent cx="5445760" cy="2376805"/>
            <wp:effectExtent l="0" t="0" r="1016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7072">
      <w:r>
        <w:drawing>
          <wp:inline distT="0" distB="0" distL="114300" distR="114300">
            <wp:extent cx="5634990" cy="2454275"/>
            <wp:effectExtent l="0" t="0" r="3810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A992">
      <w:pPr>
        <w:numPr>
          <w:ilvl w:val="0"/>
          <w:numId w:val="0"/>
        </w:numPr>
        <w:ind w:left="11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2、新增后，在完善标段信息模块，点击“添加标段信息”按钮，进入新增标段信息页面，根据项目内容完善标段信息，保存后，点击“产权中心审核”按钮，等待审核。</w:t>
      </w:r>
    </w:p>
    <w:p w14:paraId="534D10C1">
      <w:pPr>
        <w:widowControl w:val="0"/>
        <w:numPr>
          <w:ilvl w:val="0"/>
          <w:numId w:val="0"/>
        </w:numPr>
        <w:autoSpaceDE w:val="0"/>
        <w:autoSpaceDN w:val="0"/>
      </w:pPr>
      <w:r>
        <w:drawing>
          <wp:inline distT="0" distB="0" distL="114300" distR="114300">
            <wp:extent cx="5676900" cy="2477770"/>
            <wp:effectExtent l="0" t="0" r="762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4B0E">
      <w:pPr>
        <w:widowControl w:val="0"/>
        <w:numPr>
          <w:ilvl w:val="0"/>
          <w:numId w:val="0"/>
        </w:numPr>
        <w:autoSpaceDE w:val="0"/>
        <w:autoSpaceDN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78170" cy="2479040"/>
            <wp:effectExtent l="0" t="0" r="635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88815">
      <w:pPr>
        <w:pStyle w:val="4"/>
        <w:rPr>
          <w:rFonts w:hint="eastAsia" w:asciiTheme="minorHAnsi" w:eastAsiaTheme="minorEastAsia"/>
          <w:lang w:val="en-US" w:eastAsia="zh-CN"/>
        </w:rPr>
      </w:pPr>
      <w:bookmarkStart w:id="20" w:name="_Toc2126"/>
      <w:r>
        <w:rPr>
          <w:rFonts w:hint="eastAsia"/>
          <w:lang w:val="en-US" w:eastAsia="zh-CN"/>
        </w:rPr>
        <w:t>3.2.1 交易文件备案</w:t>
      </w:r>
      <w:bookmarkEnd w:id="20"/>
      <w:r>
        <w:rPr>
          <w:rFonts w:hint="eastAsia"/>
          <w:lang w:val="en-US" w:eastAsia="zh-CN"/>
        </w:rPr>
        <w:t xml:space="preserve"> （</w:t>
      </w:r>
      <w:r>
        <w:rPr>
          <w:rFonts w:hint="eastAsia" w:asciiTheme="minorHAnsi" w:eastAsiaTheme="minorEastAsia"/>
          <w:lang w:val="en-US" w:eastAsia="zh-CN"/>
        </w:rPr>
        <w:t>可选）</w:t>
      </w:r>
    </w:p>
    <w:p w14:paraId="6CB4F737">
      <w:pPr>
        <w:pStyle w:val="4"/>
        <w:rPr>
          <w:rFonts w:hint="default"/>
          <w:sz w:val="22"/>
          <w:szCs w:val="22"/>
          <w:lang w:val="en-US" w:eastAsia="zh-CN"/>
        </w:rPr>
      </w:pPr>
      <w:r>
        <w:rPr>
          <w:rFonts w:hint="eastAsia" w:asciiTheme="minorHAnsi" w:eastAsiaTheme="minorEastAsia"/>
          <w:b w:val="0"/>
          <w:bCs w:val="0"/>
          <w:color w:val="000000" w:themeColor="text1"/>
          <w:sz w:val="22"/>
          <w:szCs w:val="22"/>
          <w:lang w:val="en-US" w:eastAsia="zh-CN"/>
        </w:rPr>
        <w:t>说明：有需要给投标单位提供文件，设置保证金可通过此模块进行提交</w:t>
      </w:r>
    </w:p>
    <w:p w14:paraId="272C0FD9">
      <w:pPr>
        <w:ind w:firstLine="22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1、项目受理审核通过后，点击</w:t>
      </w:r>
      <w:r>
        <w:rPr>
          <w:rFonts w:hint="eastAsia" w:asciiTheme="minorHAnsi" w:eastAsiaTheme="minorEastAsia"/>
          <w:color w:val="FF0000"/>
          <w:lang w:val="en-US" w:eastAsia="zh-CN"/>
        </w:rPr>
        <w:t>【采购业务】-【公开竞价】-【交易文件备案】</w:t>
      </w:r>
      <w:r>
        <w:rPr>
          <w:rFonts w:hint="eastAsia" w:asciiTheme="minorHAnsi" w:eastAsiaTheme="minorEastAsia"/>
          <w:color w:val="auto"/>
          <w:lang w:val="en-US" w:eastAsia="zh-CN"/>
        </w:rPr>
        <w:t>，</w:t>
      </w:r>
      <w:r>
        <w:rPr>
          <w:rFonts w:hint="eastAsia" w:asciiTheme="minorHAnsi" w:eastAsiaTheme="minorEastAsia"/>
          <w:lang w:val="en-US" w:eastAsia="zh-CN"/>
        </w:rPr>
        <w:t>进行交易文件的备案。</w:t>
      </w:r>
    </w:p>
    <w:p w14:paraId="3F4E3B0C">
      <w:r>
        <w:drawing>
          <wp:inline distT="0" distB="0" distL="0" distR="0">
            <wp:extent cx="5721350" cy="2702560"/>
            <wp:effectExtent l="0" t="0" r="0" b="0"/>
            <wp:docPr id="1142373886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73886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8C46A0">
      <w:pPr>
        <w:ind w:firstLine="220" w:firstLineChars="10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 w:asciiTheme="minorHAnsi" w:eastAsiaTheme="minorEastAsia"/>
          <w:lang w:val="en-US" w:eastAsia="zh-CN"/>
        </w:rPr>
        <w:t>点击“新增交易文件”按钮，挑选项目，填写信息上传交易文件，提交审核即可。如下图：</w:t>
      </w:r>
    </w:p>
    <w:p w14:paraId="002154BB">
      <w:pPr>
        <w:rPr>
          <w:lang w:eastAsia="zh-CN"/>
        </w:rPr>
      </w:pPr>
      <w:r>
        <w:drawing>
          <wp:inline distT="0" distB="0" distL="0" distR="0">
            <wp:extent cx="5721350" cy="2702560"/>
            <wp:effectExtent l="0" t="0" r="0" b="0"/>
            <wp:docPr id="203294563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45635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721350" cy="2680335"/>
            <wp:effectExtent l="0" t="0" r="0" b="0"/>
            <wp:docPr id="94061456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1456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2F5A">
      <w:pPr>
        <w:pStyle w:val="4"/>
        <w:rPr>
          <w:rFonts w:hint="eastAsia"/>
          <w:lang w:val="en-US" w:eastAsia="zh-CN"/>
        </w:rPr>
      </w:pPr>
      <w:bookmarkStart w:id="21" w:name="_Toc24117"/>
      <w:r>
        <w:rPr>
          <w:rFonts w:hint="eastAsia"/>
          <w:lang w:val="en-US" w:eastAsia="zh-CN"/>
        </w:rPr>
        <w:t>3.2.2 设定竞价规则</w:t>
      </w:r>
      <w:bookmarkEnd w:id="21"/>
    </w:p>
    <w:p w14:paraId="623FD0A8">
      <w:pPr>
        <w:ind w:firstLine="22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1、交易文件审核通过后</w:t>
      </w:r>
      <w:r>
        <w:rPr>
          <w:rFonts w:hint="eastAsia" w:asciiTheme="minorHAnsi" w:eastAsiaTheme="minorEastAsia"/>
          <w:lang w:val="en-US" w:eastAsia="zh-CN"/>
        </w:rPr>
        <w:t>，点击</w:t>
      </w:r>
      <w:r>
        <w:rPr>
          <w:rFonts w:hint="eastAsia" w:asciiTheme="minorHAnsi" w:eastAsiaTheme="minorEastAsia"/>
          <w:color w:val="FF0000"/>
          <w:lang w:val="en-US" w:eastAsia="zh-CN"/>
        </w:rPr>
        <w:t>【采购业务】-【公开竞价】-【设定竞价规则】</w:t>
      </w:r>
      <w:r>
        <w:rPr>
          <w:rFonts w:hint="eastAsia" w:asciiTheme="minorHAnsi" w:eastAsiaTheme="minorEastAsia"/>
          <w:color w:val="auto"/>
          <w:lang w:val="en-US" w:eastAsia="zh-CN"/>
        </w:rPr>
        <w:t>，设定竞价规则。</w:t>
      </w:r>
    </w:p>
    <w:p w14:paraId="0891A3A5">
      <w:r>
        <w:drawing>
          <wp:inline distT="0" distB="0" distL="0" distR="0">
            <wp:extent cx="5721350" cy="2702560"/>
            <wp:effectExtent l="0" t="0" r="0" b="0"/>
            <wp:docPr id="132653550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3550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8B3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2、点击“新增竞价规则”按钮，挑选项目，根据项目内容填写相应信息后添加保存即可。</w:t>
      </w:r>
    </w:p>
    <w:p w14:paraId="0D53494B">
      <w:pPr>
        <w:rPr>
          <w:lang w:eastAsia="zh-CN"/>
        </w:rPr>
      </w:pPr>
      <w:r>
        <w:drawing>
          <wp:inline distT="0" distB="0" distL="0" distR="0">
            <wp:extent cx="5721350" cy="2702560"/>
            <wp:effectExtent l="0" t="0" r="8890" b="10160"/>
            <wp:docPr id="92305939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59397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9C0F">
      <w:pPr>
        <w:rPr>
          <w:lang w:eastAsia="zh-CN"/>
        </w:rPr>
      </w:pPr>
      <w:r>
        <w:drawing>
          <wp:inline distT="0" distB="0" distL="0" distR="0">
            <wp:extent cx="5721350" cy="2680335"/>
            <wp:effectExtent l="0" t="0" r="0" b="0"/>
            <wp:docPr id="70603077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3077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8E0B">
      <w:pPr>
        <w:rPr>
          <w:lang w:eastAsia="zh-CN"/>
        </w:rPr>
      </w:pPr>
    </w:p>
    <w:p w14:paraId="2D9C5DBE">
      <w:pPr>
        <w:pStyle w:val="4"/>
        <w:rPr>
          <w:rFonts w:hint="eastAsia"/>
          <w:lang w:val="en-US" w:eastAsia="zh-CN"/>
        </w:rPr>
      </w:pPr>
      <w:bookmarkStart w:id="22" w:name="_Toc29885"/>
      <w:r>
        <w:rPr>
          <w:rFonts w:hint="eastAsia"/>
          <w:lang w:val="en-US" w:eastAsia="zh-CN"/>
        </w:rPr>
        <w:t>3.2.3 交易公告备案</w:t>
      </w:r>
      <w:bookmarkEnd w:id="22"/>
    </w:p>
    <w:p w14:paraId="20BEE7FD">
      <w:pPr>
        <w:numPr>
          <w:ilvl w:val="0"/>
          <w:numId w:val="0"/>
        </w:numPr>
        <w:rPr>
          <w:rFonts w:hint="default" w:eastAsia="宋体"/>
          <w:color w:val="000000" w:themeColor="text1"/>
          <w:sz w:val="22"/>
          <w:szCs w:val="22"/>
          <w:lang w:val="en-US" w:eastAsia="zh-CN"/>
        </w:rPr>
      </w:pPr>
      <w:r>
        <w:rPr>
          <w:rFonts w:hint="eastAsia"/>
          <w:color w:val="000000" w:themeColor="text1"/>
          <w:sz w:val="22"/>
          <w:szCs w:val="22"/>
          <w:lang w:val="en-US" w:eastAsia="zh-CN"/>
        </w:rPr>
        <w:t>说明：</w:t>
      </w:r>
      <w:r>
        <w:rPr>
          <w:rFonts w:hint="eastAsia" w:ascii="宋体" w:eastAsia="宋体"/>
          <w:color w:val="000000" w:themeColor="text1"/>
          <w:sz w:val="22"/>
          <w:szCs w:val="22"/>
          <w:lang w:val="en-US" w:eastAsia="zh-CN"/>
        </w:rPr>
        <w:t>选择是否报名审核，影响后续审核流程</w:t>
      </w:r>
    </w:p>
    <w:p w14:paraId="4DF09023">
      <w:pPr>
        <w:rPr>
          <w:rFonts w:hint="default"/>
          <w:lang w:val="en-US" w:eastAsia="zh-CN"/>
        </w:rPr>
      </w:pPr>
    </w:p>
    <w:p w14:paraId="08376E21">
      <w:pPr>
        <w:rPr>
          <w:rFonts w:hint="eastAsia" w:asciiTheme="minorHAnsi" w:eastAsiaTheme="minor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 xml:space="preserve"> 1、</w:t>
      </w:r>
      <w:r>
        <w:rPr>
          <w:rFonts w:hint="eastAsia" w:asciiTheme="minorHAnsi" w:eastAsiaTheme="minorEastAsia"/>
          <w:lang w:val="en-US" w:eastAsia="zh-CN"/>
        </w:rPr>
        <w:t>设定竞价规则后，点击</w:t>
      </w:r>
      <w:r>
        <w:rPr>
          <w:rFonts w:hint="eastAsia" w:asciiTheme="minorHAnsi" w:eastAsiaTheme="minorEastAsia"/>
          <w:color w:val="FF0000"/>
          <w:lang w:val="en-US" w:eastAsia="zh-CN"/>
        </w:rPr>
        <w:t>【采购业务】-【公开竞价】-【交易公告备案】</w:t>
      </w:r>
      <w:r>
        <w:rPr>
          <w:rFonts w:hint="eastAsia" w:asciiTheme="minorHAnsi" w:eastAsiaTheme="minorEastAsia"/>
          <w:color w:val="auto"/>
          <w:lang w:val="en-US" w:eastAsia="zh-CN"/>
        </w:rPr>
        <w:t>，进行交易公告备案。</w:t>
      </w:r>
    </w:p>
    <w:p w14:paraId="195740F0">
      <w:pPr>
        <w:rPr>
          <w:rFonts w:hint="default" w:asciiTheme="minorHAnsi" w:eastAsiaTheme="minorEastAsia"/>
          <w:color w:val="auto"/>
          <w:lang w:val="en-US" w:eastAsia="zh-CN"/>
        </w:rPr>
      </w:pPr>
    </w:p>
    <w:p w14:paraId="2D084F58">
      <w:r>
        <w:drawing>
          <wp:inline distT="0" distB="0" distL="114300" distR="114300">
            <wp:extent cx="5920105" cy="2584450"/>
            <wp:effectExtent l="0" t="0" r="825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2464">
      <w:pPr>
        <w:numPr>
          <w:ilvl w:val="0"/>
          <w:numId w:val="0"/>
        </w:numPr>
        <w:ind w:left="11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2、点击“新增交易公告”按钮，</w:t>
      </w:r>
      <w:r>
        <w:rPr>
          <w:rFonts w:hint="eastAsia" w:asciiTheme="minorHAnsi" w:eastAsiaTheme="minorEastAsia"/>
          <w:lang w:val="en-US" w:eastAsia="zh-CN"/>
        </w:rPr>
        <w:t>挑选项目</w:t>
      </w:r>
      <w:r>
        <w:rPr>
          <w:rFonts w:hint="eastAsia"/>
          <w:lang w:val="en-US" w:eastAsia="zh-CN"/>
        </w:rPr>
        <w:t>，填写相应信息提交等待审核即可。</w:t>
      </w:r>
    </w:p>
    <w:p w14:paraId="0021852E">
      <w:pPr>
        <w:numPr>
          <w:ilvl w:val="0"/>
          <w:numId w:val="0"/>
        </w:numPr>
      </w:pPr>
      <w:r>
        <w:drawing>
          <wp:inline distT="0" distB="0" distL="114300" distR="114300">
            <wp:extent cx="5897880" cy="2574925"/>
            <wp:effectExtent l="0" t="0" r="0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0952">
      <w:pPr>
        <w:rPr>
          <w:lang w:eastAsia="zh-CN"/>
        </w:rPr>
      </w:pPr>
      <w:r>
        <w:drawing>
          <wp:inline distT="0" distB="0" distL="0" distR="0">
            <wp:extent cx="5943600" cy="2807335"/>
            <wp:effectExtent l="0" t="0" r="0" b="12065"/>
            <wp:docPr id="207124706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4706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68E4">
      <w:pPr>
        <w:pStyle w:val="4"/>
        <w:rPr>
          <w:rFonts w:hint="default"/>
          <w:lang w:val="en-US" w:eastAsia="zh-CN"/>
        </w:rPr>
      </w:pPr>
      <w:bookmarkStart w:id="23" w:name="_Toc15323"/>
      <w:r>
        <w:rPr>
          <w:rFonts w:hint="eastAsia"/>
          <w:lang w:val="en-US" w:eastAsia="zh-CN"/>
        </w:rPr>
        <w:t>3.2.4 澄清公告备案</w:t>
      </w:r>
      <w:bookmarkEnd w:id="23"/>
      <w:r>
        <w:rPr>
          <w:rFonts w:hint="eastAsia"/>
          <w:lang w:val="en-US" w:eastAsia="zh-CN"/>
        </w:rPr>
        <w:t>（可选）</w:t>
      </w:r>
    </w:p>
    <w:p w14:paraId="451F5E29">
      <w:pPr>
        <w:rPr>
          <w:rFonts w:hint="default"/>
          <w:color w:val="000000" w:themeColor="text1"/>
          <w:lang w:val="en-US" w:eastAsia="zh-CN"/>
        </w:rPr>
      </w:pPr>
      <w:r>
        <w:rPr>
          <w:rFonts w:hint="eastAsia" w:asciiTheme="minorHAnsi" w:eastAsiaTheme="minorEastAsia"/>
          <w:color w:val="000000" w:themeColor="text1"/>
          <w:lang w:val="en-US" w:eastAsia="zh-CN"/>
        </w:rPr>
        <w:t>说明：需要对项目内容进行澄清公示时，可通过此模块进行登记</w:t>
      </w:r>
    </w:p>
    <w:p w14:paraId="06ACDC7E">
      <w:pPr>
        <w:rPr>
          <w:rFonts w:hint="eastAsia"/>
          <w:lang w:val="en-US" w:eastAsia="zh-CN"/>
        </w:rPr>
      </w:pPr>
    </w:p>
    <w:p w14:paraId="190DE3CB">
      <w:pPr>
        <w:rPr>
          <w:rFonts w:hint="eastAsia" w:asciiTheme="minorHAnsi" w:eastAsiaTheme="minor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1、如果需发澄清公告，</w:t>
      </w:r>
      <w:r>
        <w:rPr>
          <w:rFonts w:hint="eastAsia" w:asciiTheme="minorHAnsi" w:eastAsiaTheme="minorEastAsia"/>
          <w:lang w:val="en-US" w:eastAsia="zh-CN"/>
        </w:rPr>
        <w:t>点击</w:t>
      </w:r>
      <w:r>
        <w:rPr>
          <w:rFonts w:hint="eastAsia" w:asciiTheme="minorHAnsi" w:eastAsiaTheme="minorEastAsia"/>
          <w:color w:val="FF0000"/>
          <w:lang w:val="en-US" w:eastAsia="zh-CN"/>
        </w:rPr>
        <w:t>【采购业务】-【公开竞价】-【澄清公告备案】</w:t>
      </w:r>
      <w:r>
        <w:rPr>
          <w:rFonts w:hint="eastAsia" w:asciiTheme="minorHAnsi" w:eastAsiaTheme="minorEastAsia"/>
          <w:color w:val="auto"/>
          <w:lang w:val="en-US" w:eastAsia="zh-CN"/>
        </w:rPr>
        <w:t>，进行澄清公告备案。</w:t>
      </w:r>
    </w:p>
    <w:p w14:paraId="476814D6">
      <w:r>
        <w:drawing>
          <wp:inline distT="0" distB="0" distL="114300" distR="114300">
            <wp:extent cx="5868670" cy="2562225"/>
            <wp:effectExtent l="0" t="0" r="13970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04CD4">
      <w:pPr>
        <w:numPr>
          <w:ilvl w:val="0"/>
          <w:numId w:val="0"/>
        </w:numPr>
        <w:ind w:left="110" w:leftChars="0"/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2、点击“新增交易公告”按钮，挑选项目，填写相应信息提交等待审核即可。</w:t>
      </w:r>
    </w:p>
    <w:p w14:paraId="36C7062A">
      <w:pPr>
        <w:numPr>
          <w:ilvl w:val="0"/>
          <w:numId w:val="0"/>
        </w:numPr>
        <w:ind w:left="110" w:leftChars="0"/>
        <w:rPr>
          <w:rFonts w:hint="default" w:asciiTheme="minorHAnsi" w:eastAsiaTheme="minorEastAsia"/>
          <w:color w:val="FF0000"/>
          <w:lang w:val="en-US" w:eastAsia="zh-CN"/>
        </w:rPr>
      </w:pPr>
      <w:r>
        <w:rPr>
          <w:rFonts w:hint="eastAsia" w:asciiTheme="minorHAnsi" w:eastAsiaTheme="minorEastAsia"/>
          <w:color w:val="FF0000"/>
          <w:lang w:val="en-US" w:eastAsia="zh-CN"/>
        </w:rPr>
        <w:t>注：若涉及竞价规则的修改，请在【设定竞价规则】页面进行修改</w:t>
      </w:r>
    </w:p>
    <w:p w14:paraId="055DDC3E">
      <w:pPr>
        <w:widowControl w:val="0"/>
        <w:numPr>
          <w:ilvl w:val="0"/>
          <w:numId w:val="0"/>
        </w:numPr>
        <w:autoSpaceDE w:val="0"/>
        <w:autoSpaceDN w:val="0"/>
      </w:pPr>
      <w:r>
        <w:drawing>
          <wp:inline distT="0" distB="0" distL="114300" distR="114300">
            <wp:extent cx="5973445" cy="2607310"/>
            <wp:effectExtent l="0" t="0" r="635" b="1397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1FA5">
      <w:pPr>
        <w:widowControl w:val="0"/>
        <w:numPr>
          <w:ilvl w:val="0"/>
          <w:numId w:val="0"/>
        </w:numPr>
        <w:autoSpaceDE w:val="0"/>
        <w:autoSpaceDN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6019800" cy="2627630"/>
            <wp:effectExtent l="0" t="0" r="0" b="889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1EB9">
      <w:pPr>
        <w:pStyle w:val="4"/>
        <w:rPr>
          <w:rFonts w:hint="eastAsia"/>
          <w:lang w:val="en-US" w:eastAsia="zh-CN"/>
        </w:rPr>
      </w:pPr>
      <w:bookmarkStart w:id="24" w:name="_Toc3089"/>
      <w:r>
        <w:rPr>
          <w:rFonts w:hint="eastAsia"/>
          <w:lang w:val="en-US" w:eastAsia="zh-CN"/>
        </w:rPr>
        <w:t>3.2.5 报名审核</w:t>
      </w:r>
      <w:bookmarkEnd w:id="24"/>
    </w:p>
    <w:p w14:paraId="5FE1B8BE"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说明：交易公告时选择了需要本项目需报名审核，可在此模块进行审核</w:t>
      </w:r>
    </w:p>
    <w:p w14:paraId="368C9552">
      <w:pPr>
        <w:rPr>
          <w:rFonts w:hint="default"/>
          <w:color w:val="000000" w:themeColor="text1"/>
          <w:lang w:val="en-US" w:eastAsia="zh-CN"/>
        </w:rPr>
      </w:pPr>
    </w:p>
    <w:p w14:paraId="632F2250">
      <w:pPr>
        <w:rPr>
          <w:rFonts w:hint="default" w:asciiTheme="minorHAnsi" w:eastAsiaTheme="minor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 xml:space="preserve"> 1、点击</w:t>
      </w:r>
      <w:r>
        <w:rPr>
          <w:rFonts w:hint="eastAsia" w:asciiTheme="minorHAnsi" w:eastAsiaTheme="minorEastAsia"/>
          <w:color w:val="FF0000"/>
          <w:lang w:val="en-US" w:eastAsia="zh-CN"/>
        </w:rPr>
        <w:t>【采购业务】-【公开竞价】-【报名审核】</w:t>
      </w:r>
      <w:r>
        <w:rPr>
          <w:rFonts w:hint="eastAsia" w:asciiTheme="minorHAnsi" w:eastAsiaTheme="minorEastAsia"/>
          <w:color w:val="auto"/>
          <w:lang w:val="en-US" w:eastAsia="zh-CN"/>
        </w:rPr>
        <w:t>，找到项目，点击“操作”按钮，进入查看报名信息页面，点击“资格审查”按钮</w:t>
      </w:r>
    </w:p>
    <w:p w14:paraId="73ECE7AE">
      <w:r>
        <w:drawing>
          <wp:inline distT="0" distB="0" distL="114300" distR="114300">
            <wp:extent cx="5798820" cy="2531110"/>
            <wp:effectExtent l="0" t="0" r="7620" b="139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66B31">
      <w:r>
        <w:drawing>
          <wp:inline distT="0" distB="0" distL="114300" distR="114300">
            <wp:extent cx="5798820" cy="2531110"/>
            <wp:effectExtent l="0" t="0" r="7620" b="1397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C6B4">
      <w:pPr>
        <w:ind w:firstLine="220" w:firstLineChars="1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2、进入资格审查页面后，可查看投标单位上传的文件，可对投标单位进行资格审查。</w:t>
      </w:r>
    </w:p>
    <w:p w14:paraId="33F5CA3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80100" cy="2567305"/>
            <wp:effectExtent l="0" t="0" r="2540" b="825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1297">
      <w:pPr>
        <w:pStyle w:val="4"/>
        <w:rPr>
          <w:rFonts w:hint="eastAsia"/>
          <w:lang w:val="en-US" w:eastAsia="zh-CN"/>
        </w:rPr>
      </w:pPr>
      <w:bookmarkStart w:id="25" w:name="_Toc6578"/>
      <w:r>
        <w:rPr>
          <w:rFonts w:hint="eastAsia"/>
          <w:lang w:val="en-US" w:eastAsia="zh-CN"/>
        </w:rPr>
        <w:t>3.2.6 同步竞价结果</w:t>
      </w:r>
      <w:bookmarkEnd w:id="25"/>
    </w:p>
    <w:p w14:paraId="44A1A22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说明：可通过此模块查看竞价结果</w:t>
      </w:r>
    </w:p>
    <w:p w14:paraId="3756C841">
      <w:pPr>
        <w:rPr>
          <w:rFonts w:hint="eastAsia"/>
          <w:lang w:val="en-US" w:eastAsia="zh-CN"/>
        </w:rPr>
      </w:pPr>
    </w:p>
    <w:p w14:paraId="122EE60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竞价结束后，</w:t>
      </w:r>
      <w:r>
        <w:rPr>
          <w:rFonts w:hint="eastAsia" w:asciiTheme="minorHAnsi" w:eastAsiaTheme="minorEastAsia"/>
          <w:lang w:val="en-US" w:eastAsia="zh-CN"/>
        </w:rPr>
        <w:t>点击</w:t>
      </w:r>
      <w:r>
        <w:rPr>
          <w:rFonts w:hint="eastAsia" w:asciiTheme="minorHAnsi" w:eastAsiaTheme="minorEastAsia"/>
          <w:color w:val="FF0000"/>
          <w:lang w:val="en-US" w:eastAsia="zh-CN"/>
        </w:rPr>
        <w:t>【采购业务】-【公开竞价】-【同步竞价结果】</w:t>
      </w:r>
      <w:r>
        <w:rPr>
          <w:rFonts w:hint="eastAsia" w:asciiTheme="minorHAnsi" w:eastAsiaTheme="minorEastAsia"/>
          <w:color w:val="auto"/>
          <w:lang w:val="en-US" w:eastAsia="zh-CN"/>
        </w:rPr>
        <w:t>，查看竞价结果。注：此页面默认竞价状态未开始的，需手动修改才能看到已同步结果的项目。</w:t>
      </w:r>
    </w:p>
    <w:p w14:paraId="76F0F567">
      <w:pPr>
        <w:rPr>
          <w:rFonts w:hint="eastAsia"/>
          <w:lang w:eastAsia="zh-CN"/>
        </w:rPr>
      </w:pPr>
      <w:r>
        <w:drawing>
          <wp:inline distT="0" distB="0" distL="114300" distR="114300">
            <wp:extent cx="5743575" cy="2506980"/>
            <wp:effectExtent l="0" t="0" r="1905" b="762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5205D">
      <w:pPr>
        <w:pStyle w:val="4"/>
        <w:rPr>
          <w:rFonts w:hint="eastAsia"/>
          <w:lang w:val="en-US" w:eastAsia="zh-CN"/>
        </w:rPr>
      </w:pPr>
      <w:bookmarkStart w:id="26" w:name="_Toc26932"/>
      <w:r>
        <w:rPr>
          <w:rFonts w:hint="eastAsia"/>
          <w:lang w:val="en-US" w:eastAsia="zh-CN"/>
        </w:rPr>
        <w:t>3.2.7 成交公告备案</w:t>
      </w:r>
      <w:bookmarkEnd w:id="26"/>
    </w:p>
    <w:p w14:paraId="40297DE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说明：可通过此模块发布成交公告</w:t>
      </w:r>
    </w:p>
    <w:p w14:paraId="4AA68469">
      <w:pPr>
        <w:rPr>
          <w:rFonts w:hint="default"/>
          <w:lang w:val="en-US" w:eastAsia="zh-CN"/>
        </w:rPr>
      </w:pPr>
    </w:p>
    <w:p w14:paraId="6B54949A">
      <w:pPr>
        <w:rPr>
          <w:rFonts w:hint="eastAsia" w:asciiTheme="minorHAnsi" w:eastAsiaTheme="minor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 xml:space="preserve"> 1、成交结果同步后，</w:t>
      </w:r>
      <w:r>
        <w:rPr>
          <w:rFonts w:hint="eastAsia" w:asciiTheme="minorHAnsi" w:eastAsiaTheme="minorEastAsia"/>
          <w:lang w:val="en-US" w:eastAsia="zh-CN"/>
        </w:rPr>
        <w:t>点击</w:t>
      </w:r>
      <w:r>
        <w:rPr>
          <w:rFonts w:hint="eastAsia" w:asciiTheme="minorHAnsi" w:eastAsiaTheme="minorEastAsia"/>
          <w:color w:val="FF0000"/>
          <w:lang w:val="en-US" w:eastAsia="zh-CN"/>
        </w:rPr>
        <w:t>【采购业务】-【公开竞价】-【成交公告备案】</w:t>
      </w:r>
      <w:r>
        <w:rPr>
          <w:rFonts w:hint="eastAsia" w:asciiTheme="minorHAnsi" w:eastAsiaTheme="minorEastAsia"/>
          <w:color w:val="auto"/>
          <w:lang w:val="en-US" w:eastAsia="zh-CN"/>
        </w:rPr>
        <w:t>，备案成交结果。</w:t>
      </w:r>
    </w:p>
    <w:p w14:paraId="233D7CF4">
      <w:r>
        <w:drawing>
          <wp:inline distT="0" distB="0" distL="114300" distR="114300">
            <wp:extent cx="5755640" cy="2512060"/>
            <wp:effectExtent l="0" t="0" r="5080" b="254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BAA5C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2、点击“新增中标公示”按钮，挑选项目，</w:t>
      </w:r>
      <w:r>
        <w:rPr>
          <w:rFonts w:hint="eastAsia" w:asciiTheme="minorHAnsi" w:eastAsiaTheme="minorEastAsia"/>
          <w:lang w:val="en-US" w:eastAsia="zh-CN"/>
        </w:rPr>
        <w:t>填写相应信息提交等待审核即可。</w:t>
      </w:r>
    </w:p>
    <w:p w14:paraId="0864885A">
      <w:r>
        <w:drawing>
          <wp:inline distT="0" distB="0" distL="114300" distR="114300">
            <wp:extent cx="5763260" cy="2515235"/>
            <wp:effectExtent l="0" t="0" r="12700" b="1460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42F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14085" cy="2625090"/>
            <wp:effectExtent l="0" t="0" r="5715" b="1143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1280">
      <w:pPr>
        <w:pStyle w:val="4"/>
        <w:rPr>
          <w:rFonts w:hint="default"/>
          <w:lang w:val="en-US" w:eastAsia="zh-CN"/>
        </w:rPr>
      </w:pPr>
      <w:bookmarkStart w:id="27" w:name="_Toc30699"/>
      <w:r>
        <w:rPr>
          <w:rFonts w:hint="eastAsia"/>
          <w:lang w:val="en-US" w:eastAsia="zh-CN"/>
        </w:rPr>
        <w:t>3.2.8 合同备案</w:t>
      </w:r>
      <w:bookmarkEnd w:id="27"/>
      <w:r>
        <w:rPr>
          <w:rFonts w:hint="eastAsia"/>
          <w:lang w:val="en-US" w:eastAsia="zh-CN"/>
        </w:rPr>
        <w:t>（可选）</w:t>
      </w:r>
      <w:bookmarkStart w:id="29" w:name="_GoBack"/>
      <w:bookmarkEnd w:id="29"/>
    </w:p>
    <w:p w14:paraId="34134A86">
      <w:pPr>
        <w:rPr>
          <w:rFonts w:hint="default" w:asciiTheme="minorHAnsi" w:eastAsiaTheme="minorEastAsia"/>
          <w:color w:val="000000" w:themeColor="text1"/>
          <w:lang w:val="en-US" w:eastAsia="zh-CN"/>
        </w:rPr>
      </w:pPr>
      <w:r>
        <w:rPr>
          <w:rFonts w:hint="eastAsia" w:asciiTheme="minorHAnsi" w:eastAsiaTheme="minorEastAsia"/>
          <w:color w:val="000000" w:themeColor="text1"/>
          <w:lang w:val="en-US" w:eastAsia="zh-CN"/>
        </w:rPr>
        <w:t>说明：可通过此模块上传合同扫描件进行备案</w:t>
      </w:r>
    </w:p>
    <w:p w14:paraId="101984DD">
      <w:pPr>
        <w:rPr>
          <w:rFonts w:hint="eastAsia" w:asciiTheme="minorHAnsi" w:eastAsiaTheme="minorEastAsia"/>
          <w:color w:val="000000" w:themeColor="text1"/>
          <w:lang w:val="en-US" w:eastAsia="zh-CN"/>
        </w:rPr>
      </w:pPr>
    </w:p>
    <w:p w14:paraId="2ADE9C85">
      <w:pPr>
        <w:rPr>
          <w:rFonts w:hint="eastAsia" w:asciiTheme="minorHAnsi" w:eastAsiaTheme="minor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 xml:space="preserve"> 1、签署合同后，</w:t>
      </w:r>
      <w:r>
        <w:rPr>
          <w:rFonts w:hint="eastAsia" w:asciiTheme="minorHAnsi" w:eastAsiaTheme="minorEastAsia"/>
          <w:lang w:val="en-US" w:eastAsia="zh-CN"/>
        </w:rPr>
        <w:t>点击</w:t>
      </w:r>
      <w:r>
        <w:rPr>
          <w:rFonts w:hint="eastAsia" w:asciiTheme="minorHAnsi" w:eastAsiaTheme="minorEastAsia"/>
          <w:color w:val="FF0000"/>
          <w:lang w:val="en-US" w:eastAsia="zh-CN"/>
        </w:rPr>
        <w:t>【采购业务】-【公开竞价】-【合同备案】</w:t>
      </w:r>
      <w:r>
        <w:rPr>
          <w:rFonts w:hint="eastAsia" w:asciiTheme="minorHAnsi" w:eastAsiaTheme="minorEastAsia"/>
          <w:color w:val="auto"/>
          <w:lang w:val="en-US" w:eastAsia="zh-CN"/>
        </w:rPr>
        <w:t>，进行合同备案</w:t>
      </w:r>
    </w:p>
    <w:p w14:paraId="7ACDD0ED">
      <w:r>
        <w:drawing>
          <wp:inline distT="0" distB="0" distL="114300" distR="114300">
            <wp:extent cx="5994400" cy="2616200"/>
            <wp:effectExtent l="0" t="0" r="10160" b="508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B477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2、</w:t>
      </w:r>
      <w:r>
        <w:rPr>
          <w:rFonts w:hint="eastAsia" w:asciiTheme="minorHAnsi" w:eastAsiaTheme="minorEastAsia"/>
          <w:lang w:val="en-US" w:eastAsia="zh-CN"/>
        </w:rPr>
        <w:t>点击“新增合同备案”按钮，挑选项目，填写相应信息提交等待审核即可。</w:t>
      </w:r>
    </w:p>
    <w:p w14:paraId="3D7FB56B">
      <w:r>
        <w:drawing>
          <wp:inline distT="0" distB="0" distL="114300" distR="114300">
            <wp:extent cx="6006465" cy="2621280"/>
            <wp:effectExtent l="0" t="0" r="13335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AF3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90590" cy="2615565"/>
            <wp:effectExtent l="0" t="0" r="13970" b="571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A234">
      <w:pPr>
        <w:pStyle w:val="4"/>
        <w:rPr>
          <w:rFonts w:hint="eastAsia"/>
          <w:lang w:val="en-US" w:eastAsia="zh-CN"/>
        </w:rPr>
      </w:pPr>
      <w:bookmarkStart w:id="28" w:name="_Toc24771"/>
      <w:r>
        <w:rPr>
          <w:rFonts w:hint="eastAsia"/>
          <w:lang w:val="en-US" w:eastAsia="zh-CN"/>
        </w:rPr>
        <w:t>3.2.9 交易异常</w:t>
      </w:r>
      <w:bookmarkEnd w:id="28"/>
      <w:r>
        <w:rPr>
          <w:rFonts w:hint="eastAsia"/>
          <w:lang w:val="en-US" w:eastAsia="zh-CN"/>
        </w:rPr>
        <w:t>（可选）</w:t>
      </w:r>
    </w:p>
    <w:p w14:paraId="78D80AE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1、若期间有异常，需重新招标或终止招标，点击</w:t>
      </w:r>
      <w:r>
        <w:rPr>
          <w:rFonts w:hint="eastAsia" w:asciiTheme="minorHAnsi" w:eastAsiaTheme="minorEastAsia"/>
          <w:color w:val="FF0000"/>
          <w:lang w:val="en-US" w:eastAsia="zh-CN"/>
        </w:rPr>
        <w:t>【采购业务】-【公开竞价】-【交易异常】</w:t>
      </w:r>
      <w:r>
        <w:rPr>
          <w:rFonts w:hint="eastAsia" w:asciiTheme="minorHAnsi" w:eastAsiaTheme="minorEastAsia"/>
          <w:color w:val="auto"/>
          <w:lang w:val="en-US" w:eastAsia="zh-CN"/>
        </w:rPr>
        <w:t>，进行交易异常备案。</w:t>
      </w:r>
    </w:p>
    <w:p w14:paraId="4B78BD93">
      <w:r>
        <w:drawing>
          <wp:inline distT="0" distB="0" distL="114300" distR="114300">
            <wp:extent cx="6034405" cy="2633980"/>
            <wp:effectExtent l="0" t="0" r="635" b="254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B54B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2、</w:t>
      </w:r>
      <w:r>
        <w:rPr>
          <w:rFonts w:hint="eastAsia" w:asciiTheme="minorHAnsi" w:eastAsiaTheme="minorEastAsia"/>
          <w:lang w:val="en-US" w:eastAsia="zh-CN"/>
        </w:rPr>
        <w:t>点击“新增异常”按钮，挑选项目，填写相应信息提交等待审核即可。</w:t>
      </w:r>
    </w:p>
    <w:p w14:paraId="46050CCC">
      <w:r>
        <w:drawing>
          <wp:inline distT="0" distB="0" distL="114300" distR="114300">
            <wp:extent cx="6104890" cy="2664460"/>
            <wp:effectExtent l="0" t="0" r="6350" b="254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DF0A">
      <w:pPr>
        <w:rPr>
          <w:lang w:eastAsia="zh-CN"/>
        </w:rPr>
      </w:pPr>
      <w:r>
        <w:drawing>
          <wp:inline distT="0" distB="0" distL="114300" distR="114300">
            <wp:extent cx="6022340" cy="2628265"/>
            <wp:effectExtent l="0" t="0" r="12700" b="825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7" w:type="default"/>
      <w:pgSz w:w="11910" w:h="16840"/>
      <w:pgMar w:top="820" w:right="1240" w:bottom="1120" w:left="1660" w:header="634" w:footer="937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81727805"/>
      <w:docPartObj>
        <w:docPartGallery w:val="autotext"/>
      </w:docPartObj>
    </w:sdtPr>
    <w:sdtContent>
      <w:p w14:paraId="28650DA2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74AF96B5">
    <w:pPr>
      <w:pStyle w:val="5"/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79929811"/>
      <w:docPartObj>
        <w:docPartGallery w:val="autotext"/>
      </w:docPartObj>
    </w:sdtPr>
    <w:sdtContent>
      <w:p w14:paraId="693F4EF9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65138335">
    <w:pPr>
      <w:pStyle w:val="5"/>
      <w:spacing w:line="14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19429717"/>
      <w:docPartObj>
        <w:docPartGallery w:val="autotext"/>
      </w:docPartObj>
    </w:sdtPr>
    <w:sdtContent>
      <w:p w14:paraId="42FC07D8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512F2836">
    <w:pPr>
      <w:pStyle w:val="5"/>
      <w:spacing w:line="14" w:lineRule="auto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D7583D">
    <w:pPr>
      <w:pStyle w:val="5"/>
      <w:spacing w:line="14" w:lineRule="auto"/>
    </w:pPr>
    <w:r>
      <w:pict>
        <v:line id="_x0000_s1055" o:spid="_x0000_s1055" o:spt="20" style="position:absolute;left:0pt;margin-left:89.6pt;margin-top:44.4pt;height:0pt;width:415.3pt;mso-position-horizontal-relative:page;mso-position-vertical-relative:page;z-index:-251656192;mso-width-relative:page;mso-height-relative:page;" stroked="t" coordsize="21600,21600">
          <v:path arrowok="t"/>
          <v:fill focussize="0,0"/>
          <v:stroke weight="0.7pt" color="#612322"/>
          <v:imagedata o:title=""/>
          <o:lock v:ext="edit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35EA8F">
    <w:pPr>
      <w:pStyle w:val="5"/>
      <w:spacing w:before="5"/>
      <w:ind w:left="1778" w:right="2191"/>
      <w:jc w:val="center"/>
      <w:rPr>
        <w:rFonts w:ascii="黑体" w:eastAsia="黑体"/>
        <w:lang w:eastAsia="zh-CN"/>
      </w:rPr>
    </w:pPr>
    <w:r>
      <w:rPr>
        <w:rFonts w:hint="eastAsia" w:ascii="黑体" w:eastAsia="黑体"/>
        <w:lang w:eastAsia="zh-CN"/>
      </w:rPr>
      <w:t>嘉兴禾采联综合采购服务平台公开竞价业务操作手册</w:t>
    </w:r>
  </w:p>
  <w:p w14:paraId="564E7382">
    <w:pPr>
      <w:pStyle w:val="5"/>
      <w:spacing w:before="5"/>
      <w:ind w:left="1778" w:right="2191"/>
      <w:jc w:val="center"/>
      <w:rPr>
        <w:rFonts w:ascii="黑体" w:eastAsia="黑体"/>
        <w:lang w:eastAsia="zh-CN"/>
      </w:rPr>
    </w:pPr>
    <w:r>
      <w:rPr>
        <w:rFonts w:hint="eastAsia" w:ascii="黑体" w:eastAsia="黑体"/>
        <w:lang w:eastAsia="zh-CN"/>
      </w:rPr>
      <w:t>（采购人</w:t>
    </w:r>
    <w:r>
      <w:rPr>
        <w:rFonts w:ascii="黑体" w:eastAsia="黑体"/>
        <w:lang w:eastAsia="zh-CN"/>
      </w:rPr>
      <w:t>/采购代理）</w:t>
    </w:r>
  </w:p>
  <w:p w14:paraId="710FBEAD">
    <w:pPr>
      <w:pStyle w:val="5"/>
      <w:spacing w:line="14" w:lineRule="auto"/>
    </w:pPr>
    <w:r>
      <w:pict>
        <v:line id="_x0000_s1058" o:spid="_x0000_s1058" o:spt="20" style="position:absolute;left:0pt;margin-left:89.6pt;margin-top:44.4pt;height:0pt;width:415.3pt;mso-position-horizontal-relative:page;mso-position-vertical-relative:page;z-index:-251655168;mso-width-relative:page;mso-height-relative:page;" stroked="t" coordsize="21600,21600">
          <v:path arrowok="t"/>
          <v:fill focussize="0,0"/>
          <v:stroke weight="0.7pt" color="#612322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2D6EDF"/>
    <w:multiLevelType w:val="singleLevel"/>
    <w:tmpl w:val="BB2D6EDF"/>
    <w:lvl w:ilvl="0" w:tentative="0">
      <w:start w:val="2"/>
      <w:numFmt w:val="decimal"/>
      <w:suff w:val="nothing"/>
      <w:lvlText w:val="%1、"/>
      <w:lvlJc w:val="left"/>
      <w:pPr>
        <w:ind w:left="110" w:leftChars="0" w:firstLine="0" w:firstLineChars="0"/>
      </w:pPr>
    </w:lvl>
  </w:abstractNum>
  <w:abstractNum w:abstractNumId="1">
    <w:nsid w:val="166B2ABA"/>
    <w:multiLevelType w:val="multilevel"/>
    <w:tmpl w:val="166B2ABA"/>
    <w:lvl w:ilvl="0" w:tentative="0">
      <w:start w:val="3"/>
      <w:numFmt w:val="decimal"/>
      <w:lvlText w:val="%1、"/>
      <w:lvlJc w:val="left"/>
      <w:pPr>
        <w:ind w:left="51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31" w:hanging="440"/>
      </w:pPr>
    </w:lvl>
    <w:lvl w:ilvl="2" w:tentative="0">
      <w:start w:val="1"/>
      <w:numFmt w:val="lowerRoman"/>
      <w:lvlText w:val="%3."/>
      <w:lvlJc w:val="right"/>
      <w:pPr>
        <w:ind w:left="1471" w:hanging="440"/>
      </w:pPr>
    </w:lvl>
    <w:lvl w:ilvl="3" w:tentative="0">
      <w:start w:val="1"/>
      <w:numFmt w:val="decimal"/>
      <w:lvlText w:val="%4."/>
      <w:lvlJc w:val="left"/>
      <w:pPr>
        <w:ind w:left="1911" w:hanging="440"/>
      </w:pPr>
    </w:lvl>
    <w:lvl w:ilvl="4" w:tentative="0">
      <w:start w:val="1"/>
      <w:numFmt w:val="lowerLetter"/>
      <w:lvlText w:val="%5)"/>
      <w:lvlJc w:val="left"/>
      <w:pPr>
        <w:ind w:left="2351" w:hanging="440"/>
      </w:pPr>
    </w:lvl>
    <w:lvl w:ilvl="5" w:tentative="0">
      <w:start w:val="1"/>
      <w:numFmt w:val="lowerRoman"/>
      <w:lvlText w:val="%6."/>
      <w:lvlJc w:val="right"/>
      <w:pPr>
        <w:ind w:left="2791" w:hanging="440"/>
      </w:pPr>
    </w:lvl>
    <w:lvl w:ilvl="6" w:tentative="0">
      <w:start w:val="1"/>
      <w:numFmt w:val="decimal"/>
      <w:lvlText w:val="%7."/>
      <w:lvlJc w:val="left"/>
      <w:pPr>
        <w:ind w:left="3231" w:hanging="440"/>
      </w:pPr>
    </w:lvl>
    <w:lvl w:ilvl="7" w:tentative="0">
      <w:start w:val="1"/>
      <w:numFmt w:val="lowerLetter"/>
      <w:lvlText w:val="%8)"/>
      <w:lvlJc w:val="left"/>
      <w:pPr>
        <w:ind w:left="3671" w:hanging="440"/>
      </w:pPr>
    </w:lvl>
    <w:lvl w:ilvl="8" w:tentative="0">
      <w:start w:val="1"/>
      <w:numFmt w:val="lowerRoman"/>
      <w:lvlText w:val="%9."/>
      <w:lvlJc w:val="right"/>
      <w:pPr>
        <w:ind w:left="4111" w:hanging="440"/>
      </w:pPr>
    </w:lvl>
  </w:abstractNum>
  <w:abstractNum w:abstractNumId="2">
    <w:nsid w:val="3FD57D80"/>
    <w:multiLevelType w:val="multilevel"/>
    <w:tmpl w:val="3FD57D80"/>
    <w:lvl w:ilvl="0" w:tentative="0">
      <w:start w:val="6"/>
      <w:numFmt w:val="decimal"/>
      <w:lvlText w:val="%1、"/>
      <w:lvlJc w:val="left"/>
      <w:pPr>
        <w:ind w:left="11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0" w:hanging="440"/>
      </w:pPr>
    </w:lvl>
    <w:lvl w:ilvl="2" w:tentative="0">
      <w:start w:val="1"/>
      <w:numFmt w:val="lowerRoman"/>
      <w:lvlText w:val="%3."/>
      <w:lvlJc w:val="right"/>
      <w:pPr>
        <w:ind w:left="1720" w:hanging="440"/>
      </w:pPr>
    </w:lvl>
    <w:lvl w:ilvl="3" w:tentative="0">
      <w:start w:val="1"/>
      <w:numFmt w:val="decimal"/>
      <w:lvlText w:val="%4."/>
      <w:lvlJc w:val="left"/>
      <w:pPr>
        <w:ind w:left="2160" w:hanging="440"/>
      </w:pPr>
    </w:lvl>
    <w:lvl w:ilvl="4" w:tentative="0">
      <w:start w:val="1"/>
      <w:numFmt w:val="lowerLetter"/>
      <w:lvlText w:val="%5)"/>
      <w:lvlJc w:val="left"/>
      <w:pPr>
        <w:ind w:left="2600" w:hanging="440"/>
      </w:pPr>
    </w:lvl>
    <w:lvl w:ilvl="5" w:tentative="0">
      <w:start w:val="1"/>
      <w:numFmt w:val="lowerRoman"/>
      <w:lvlText w:val="%6."/>
      <w:lvlJc w:val="right"/>
      <w:pPr>
        <w:ind w:left="3040" w:hanging="440"/>
      </w:pPr>
    </w:lvl>
    <w:lvl w:ilvl="6" w:tentative="0">
      <w:start w:val="1"/>
      <w:numFmt w:val="decimal"/>
      <w:lvlText w:val="%7."/>
      <w:lvlJc w:val="left"/>
      <w:pPr>
        <w:ind w:left="3480" w:hanging="440"/>
      </w:pPr>
    </w:lvl>
    <w:lvl w:ilvl="7" w:tentative="0">
      <w:start w:val="1"/>
      <w:numFmt w:val="lowerLetter"/>
      <w:lvlText w:val="%8)"/>
      <w:lvlJc w:val="left"/>
      <w:pPr>
        <w:ind w:left="3920" w:hanging="440"/>
      </w:pPr>
    </w:lvl>
    <w:lvl w:ilvl="8" w:tentative="0">
      <w:start w:val="1"/>
      <w:numFmt w:val="lowerRoman"/>
      <w:lvlText w:val="%9."/>
      <w:lvlJc w:val="right"/>
      <w:pPr>
        <w:ind w:left="4360" w:hanging="440"/>
      </w:pPr>
    </w:lvl>
  </w:abstractNum>
  <w:abstractNum w:abstractNumId="3">
    <w:nsid w:val="642A686C"/>
    <w:multiLevelType w:val="multilevel"/>
    <w:tmpl w:val="642A686C"/>
    <w:lvl w:ilvl="0" w:tentative="0">
      <w:start w:val="1"/>
      <w:numFmt w:val="decimal"/>
      <w:lvlText w:val="%1."/>
      <w:lvlJc w:val="left"/>
      <w:pPr>
        <w:ind w:left="792" w:hanging="792"/>
      </w:pPr>
      <w:rPr>
        <w:rFonts w:hint="default"/>
      </w:rPr>
    </w:lvl>
    <w:lvl w:ilvl="1" w:tentative="0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 w:tentative="0">
      <w:start w:val="1"/>
      <w:numFmt w:val="decimal"/>
      <w:lvlText w:val="%1.%2、%3."/>
      <w:lvlJc w:val="left"/>
      <w:pPr>
        <w:ind w:left="1440" w:hanging="1440"/>
      </w:pPr>
      <w:rPr>
        <w:rFonts w:hint="default"/>
      </w:rPr>
    </w:lvl>
    <w:lvl w:ilvl="3" w:tentative="0">
      <w:start w:val="1"/>
      <w:numFmt w:val="decimal"/>
      <w:lvlText w:val="%1.%2、%3.%4."/>
      <w:lvlJc w:val="left"/>
      <w:pPr>
        <w:ind w:left="1800" w:hanging="1800"/>
      </w:pPr>
      <w:rPr>
        <w:rFonts w:hint="default"/>
      </w:rPr>
    </w:lvl>
    <w:lvl w:ilvl="4" w:tentative="0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 w:tentative="0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 w:tentative="0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 w:tentative="0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 w:tentative="0">
      <w:start w:val="1"/>
      <w:numFmt w:val="decimal"/>
      <w:lvlText w:val="%1.%2、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1"/>
    </o:shapelayout>
  </w:hdrShapeDefaults>
  <w:compat>
    <w:ulTrailSpace/>
    <w:useFELayout/>
    <w:compatSetting w:name="compatibilityMode" w:uri="http://schemas.microsoft.com/office/word" w:val="12"/>
  </w:compat>
  <w:docVars>
    <w:docVar w:name="commondata" w:val="eyJoZGlkIjoiOGVlZGI1OGZjY2QwMmJhOTAzNjQ5ZTk5ZTk3M2M2OTEifQ=="/>
  </w:docVars>
  <w:rsids>
    <w:rsidRoot w:val="00632BFF"/>
    <w:rsid w:val="0001588B"/>
    <w:rsid w:val="000202C7"/>
    <w:rsid w:val="000241FA"/>
    <w:rsid w:val="00024D41"/>
    <w:rsid w:val="00026444"/>
    <w:rsid w:val="00033872"/>
    <w:rsid w:val="00040759"/>
    <w:rsid w:val="00044ECD"/>
    <w:rsid w:val="00045D90"/>
    <w:rsid w:val="00045EBE"/>
    <w:rsid w:val="000505F1"/>
    <w:rsid w:val="000557D3"/>
    <w:rsid w:val="0006261A"/>
    <w:rsid w:val="00064586"/>
    <w:rsid w:val="00065E3A"/>
    <w:rsid w:val="00067000"/>
    <w:rsid w:val="0007253C"/>
    <w:rsid w:val="00080102"/>
    <w:rsid w:val="0008514A"/>
    <w:rsid w:val="00095772"/>
    <w:rsid w:val="00095EE9"/>
    <w:rsid w:val="000A1065"/>
    <w:rsid w:val="000A1AFC"/>
    <w:rsid w:val="000B2021"/>
    <w:rsid w:val="000C50CB"/>
    <w:rsid w:val="000C548B"/>
    <w:rsid w:val="000C6EDC"/>
    <w:rsid w:val="000C6F7D"/>
    <w:rsid w:val="000D1B3A"/>
    <w:rsid w:val="000D2B71"/>
    <w:rsid w:val="000D6465"/>
    <w:rsid w:val="000E028E"/>
    <w:rsid w:val="000E5995"/>
    <w:rsid w:val="000E711D"/>
    <w:rsid w:val="000F1F63"/>
    <w:rsid w:val="000F7206"/>
    <w:rsid w:val="001045A7"/>
    <w:rsid w:val="00104A5A"/>
    <w:rsid w:val="0010524B"/>
    <w:rsid w:val="00105665"/>
    <w:rsid w:val="0010611D"/>
    <w:rsid w:val="00106544"/>
    <w:rsid w:val="00110096"/>
    <w:rsid w:val="00110784"/>
    <w:rsid w:val="00110BCE"/>
    <w:rsid w:val="00114643"/>
    <w:rsid w:val="00114A5E"/>
    <w:rsid w:val="00114F27"/>
    <w:rsid w:val="00117518"/>
    <w:rsid w:val="001236E2"/>
    <w:rsid w:val="0012444D"/>
    <w:rsid w:val="00134606"/>
    <w:rsid w:val="001376D0"/>
    <w:rsid w:val="00140AA1"/>
    <w:rsid w:val="00142EC0"/>
    <w:rsid w:val="0014553A"/>
    <w:rsid w:val="0015054A"/>
    <w:rsid w:val="00162F6E"/>
    <w:rsid w:val="00163658"/>
    <w:rsid w:val="0016446B"/>
    <w:rsid w:val="00167A1D"/>
    <w:rsid w:val="00175072"/>
    <w:rsid w:val="00176E2E"/>
    <w:rsid w:val="00180CBB"/>
    <w:rsid w:val="0018571A"/>
    <w:rsid w:val="00193EFA"/>
    <w:rsid w:val="001960CC"/>
    <w:rsid w:val="001963BF"/>
    <w:rsid w:val="001A1B76"/>
    <w:rsid w:val="001A3F75"/>
    <w:rsid w:val="001B5198"/>
    <w:rsid w:val="001B5B87"/>
    <w:rsid w:val="001B7F89"/>
    <w:rsid w:val="001C0F72"/>
    <w:rsid w:val="001C1CAA"/>
    <w:rsid w:val="001C27E9"/>
    <w:rsid w:val="001D12A9"/>
    <w:rsid w:val="001E3E92"/>
    <w:rsid w:val="001F3FAA"/>
    <w:rsid w:val="001F699E"/>
    <w:rsid w:val="00200EF4"/>
    <w:rsid w:val="00201B8E"/>
    <w:rsid w:val="00202569"/>
    <w:rsid w:val="00202714"/>
    <w:rsid w:val="0020276B"/>
    <w:rsid w:val="00203936"/>
    <w:rsid w:val="002055FC"/>
    <w:rsid w:val="00206F0B"/>
    <w:rsid w:val="002111F9"/>
    <w:rsid w:val="002143E9"/>
    <w:rsid w:val="002145F2"/>
    <w:rsid w:val="00214798"/>
    <w:rsid w:val="0022424D"/>
    <w:rsid w:val="0022428F"/>
    <w:rsid w:val="00225BD4"/>
    <w:rsid w:val="00233F03"/>
    <w:rsid w:val="00234221"/>
    <w:rsid w:val="0023744B"/>
    <w:rsid w:val="00237801"/>
    <w:rsid w:val="0024133F"/>
    <w:rsid w:val="00242AA6"/>
    <w:rsid w:val="002504DA"/>
    <w:rsid w:val="00255DFD"/>
    <w:rsid w:val="00262A4A"/>
    <w:rsid w:val="00263235"/>
    <w:rsid w:val="002677EE"/>
    <w:rsid w:val="002714DF"/>
    <w:rsid w:val="00275D43"/>
    <w:rsid w:val="00276FE9"/>
    <w:rsid w:val="00277434"/>
    <w:rsid w:val="00281CA6"/>
    <w:rsid w:val="00291413"/>
    <w:rsid w:val="002919D3"/>
    <w:rsid w:val="002B1009"/>
    <w:rsid w:val="002C781F"/>
    <w:rsid w:val="002D0400"/>
    <w:rsid w:val="002D1F82"/>
    <w:rsid w:val="002D231E"/>
    <w:rsid w:val="002D3C64"/>
    <w:rsid w:val="002D4394"/>
    <w:rsid w:val="002E70F0"/>
    <w:rsid w:val="002F411B"/>
    <w:rsid w:val="002F7490"/>
    <w:rsid w:val="0030430D"/>
    <w:rsid w:val="00304665"/>
    <w:rsid w:val="003061EE"/>
    <w:rsid w:val="003217AE"/>
    <w:rsid w:val="003270AE"/>
    <w:rsid w:val="00331AB1"/>
    <w:rsid w:val="00332797"/>
    <w:rsid w:val="003328FE"/>
    <w:rsid w:val="00335736"/>
    <w:rsid w:val="003404FB"/>
    <w:rsid w:val="003479C1"/>
    <w:rsid w:val="00350410"/>
    <w:rsid w:val="0035095E"/>
    <w:rsid w:val="0035669A"/>
    <w:rsid w:val="003571EB"/>
    <w:rsid w:val="00360B63"/>
    <w:rsid w:val="0037184F"/>
    <w:rsid w:val="00381900"/>
    <w:rsid w:val="00381B03"/>
    <w:rsid w:val="00383373"/>
    <w:rsid w:val="00384F2B"/>
    <w:rsid w:val="00394434"/>
    <w:rsid w:val="00396A4F"/>
    <w:rsid w:val="003978D9"/>
    <w:rsid w:val="003A5EC6"/>
    <w:rsid w:val="003A7653"/>
    <w:rsid w:val="003A77F8"/>
    <w:rsid w:val="003C6CB6"/>
    <w:rsid w:val="003C7BC5"/>
    <w:rsid w:val="003D1393"/>
    <w:rsid w:val="003D16F5"/>
    <w:rsid w:val="003D62A1"/>
    <w:rsid w:val="003D6794"/>
    <w:rsid w:val="003D73F4"/>
    <w:rsid w:val="003E118B"/>
    <w:rsid w:val="003E17FA"/>
    <w:rsid w:val="003E2E6C"/>
    <w:rsid w:val="003E4BC1"/>
    <w:rsid w:val="003E5C39"/>
    <w:rsid w:val="003F4579"/>
    <w:rsid w:val="00400C32"/>
    <w:rsid w:val="00401D57"/>
    <w:rsid w:val="00405F6B"/>
    <w:rsid w:val="00412BE4"/>
    <w:rsid w:val="00414460"/>
    <w:rsid w:val="004154AA"/>
    <w:rsid w:val="00417327"/>
    <w:rsid w:val="004201D6"/>
    <w:rsid w:val="004229AC"/>
    <w:rsid w:val="004254E5"/>
    <w:rsid w:val="00425840"/>
    <w:rsid w:val="00433866"/>
    <w:rsid w:val="004510FF"/>
    <w:rsid w:val="00453A30"/>
    <w:rsid w:val="0046270A"/>
    <w:rsid w:val="00465363"/>
    <w:rsid w:val="004669F4"/>
    <w:rsid w:val="004745ED"/>
    <w:rsid w:val="0047483D"/>
    <w:rsid w:val="004844AB"/>
    <w:rsid w:val="0048678A"/>
    <w:rsid w:val="00490246"/>
    <w:rsid w:val="004912F5"/>
    <w:rsid w:val="00493F1B"/>
    <w:rsid w:val="00495561"/>
    <w:rsid w:val="004966E7"/>
    <w:rsid w:val="0049793D"/>
    <w:rsid w:val="004A27F8"/>
    <w:rsid w:val="004A718F"/>
    <w:rsid w:val="004A7338"/>
    <w:rsid w:val="004B2C8B"/>
    <w:rsid w:val="004B361D"/>
    <w:rsid w:val="004B68F1"/>
    <w:rsid w:val="004D105F"/>
    <w:rsid w:val="004D568D"/>
    <w:rsid w:val="004D7232"/>
    <w:rsid w:val="004E0BCC"/>
    <w:rsid w:val="004E1047"/>
    <w:rsid w:val="004E618A"/>
    <w:rsid w:val="004F2439"/>
    <w:rsid w:val="0050277C"/>
    <w:rsid w:val="00502962"/>
    <w:rsid w:val="00504165"/>
    <w:rsid w:val="00506F2D"/>
    <w:rsid w:val="005214E2"/>
    <w:rsid w:val="00522352"/>
    <w:rsid w:val="0052661E"/>
    <w:rsid w:val="00527D0D"/>
    <w:rsid w:val="00531C6D"/>
    <w:rsid w:val="00536E73"/>
    <w:rsid w:val="00536F94"/>
    <w:rsid w:val="00547651"/>
    <w:rsid w:val="00547FD0"/>
    <w:rsid w:val="00550925"/>
    <w:rsid w:val="00553156"/>
    <w:rsid w:val="005556DD"/>
    <w:rsid w:val="005568BB"/>
    <w:rsid w:val="005604AE"/>
    <w:rsid w:val="0057137D"/>
    <w:rsid w:val="0057480D"/>
    <w:rsid w:val="00574D33"/>
    <w:rsid w:val="00575E26"/>
    <w:rsid w:val="00582E91"/>
    <w:rsid w:val="00590911"/>
    <w:rsid w:val="00590C2A"/>
    <w:rsid w:val="00591773"/>
    <w:rsid w:val="00591963"/>
    <w:rsid w:val="00595143"/>
    <w:rsid w:val="005977F6"/>
    <w:rsid w:val="005A132B"/>
    <w:rsid w:val="005A519C"/>
    <w:rsid w:val="005A5904"/>
    <w:rsid w:val="005A6EF3"/>
    <w:rsid w:val="005B06F9"/>
    <w:rsid w:val="005B1802"/>
    <w:rsid w:val="005B1D4A"/>
    <w:rsid w:val="005B3CB9"/>
    <w:rsid w:val="005B3FE6"/>
    <w:rsid w:val="005B4A0E"/>
    <w:rsid w:val="005C0AEF"/>
    <w:rsid w:val="005C217E"/>
    <w:rsid w:val="005C2737"/>
    <w:rsid w:val="005D1D93"/>
    <w:rsid w:val="005D2E52"/>
    <w:rsid w:val="005E4A92"/>
    <w:rsid w:val="005F59FE"/>
    <w:rsid w:val="005F659A"/>
    <w:rsid w:val="005F7C43"/>
    <w:rsid w:val="00605E71"/>
    <w:rsid w:val="00610640"/>
    <w:rsid w:val="00613009"/>
    <w:rsid w:val="0062140F"/>
    <w:rsid w:val="006215B2"/>
    <w:rsid w:val="006215B6"/>
    <w:rsid w:val="00632BFF"/>
    <w:rsid w:val="006353B3"/>
    <w:rsid w:val="00635DE1"/>
    <w:rsid w:val="0063711F"/>
    <w:rsid w:val="006372DE"/>
    <w:rsid w:val="00641C1C"/>
    <w:rsid w:val="0064547B"/>
    <w:rsid w:val="00646CE3"/>
    <w:rsid w:val="00652017"/>
    <w:rsid w:val="0065580E"/>
    <w:rsid w:val="0066201E"/>
    <w:rsid w:val="00664139"/>
    <w:rsid w:val="0067709B"/>
    <w:rsid w:val="006870A9"/>
    <w:rsid w:val="00697E04"/>
    <w:rsid w:val="006A16CC"/>
    <w:rsid w:val="006A1B66"/>
    <w:rsid w:val="006A26BA"/>
    <w:rsid w:val="006A42FB"/>
    <w:rsid w:val="006A7170"/>
    <w:rsid w:val="006B09BA"/>
    <w:rsid w:val="006B39F8"/>
    <w:rsid w:val="006B77F4"/>
    <w:rsid w:val="006C2F71"/>
    <w:rsid w:val="006C3EC2"/>
    <w:rsid w:val="006C43BE"/>
    <w:rsid w:val="006D7077"/>
    <w:rsid w:val="006E0C31"/>
    <w:rsid w:val="006E13ED"/>
    <w:rsid w:val="006E7A8A"/>
    <w:rsid w:val="006F17DC"/>
    <w:rsid w:val="006F2435"/>
    <w:rsid w:val="006F282C"/>
    <w:rsid w:val="006F490B"/>
    <w:rsid w:val="00706507"/>
    <w:rsid w:val="00707034"/>
    <w:rsid w:val="00712DDE"/>
    <w:rsid w:val="00712EAA"/>
    <w:rsid w:val="00714A4C"/>
    <w:rsid w:val="007250BF"/>
    <w:rsid w:val="00725115"/>
    <w:rsid w:val="00726C3B"/>
    <w:rsid w:val="00730473"/>
    <w:rsid w:val="00731336"/>
    <w:rsid w:val="00732C47"/>
    <w:rsid w:val="0074193F"/>
    <w:rsid w:val="00741C70"/>
    <w:rsid w:val="007516F3"/>
    <w:rsid w:val="007530DB"/>
    <w:rsid w:val="00755079"/>
    <w:rsid w:val="00761EB0"/>
    <w:rsid w:val="00762932"/>
    <w:rsid w:val="0077240C"/>
    <w:rsid w:val="0077758A"/>
    <w:rsid w:val="0078317B"/>
    <w:rsid w:val="00783369"/>
    <w:rsid w:val="0078451F"/>
    <w:rsid w:val="00787C7C"/>
    <w:rsid w:val="00791E3B"/>
    <w:rsid w:val="007A3B89"/>
    <w:rsid w:val="007B05DE"/>
    <w:rsid w:val="007B2C77"/>
    <w:rsid w:val="007B32D4"/>
    <w:rsid w:val="007B356E"/>
    <w:rsid w:val="007B5D12"/>
    <w:rsid w:val="007C135A"/>
    <w:rsid w:val="007C2A49"/>
    <w:rsid w:val="007D318F"/>
    <w:rsid w:val="007D6134"/>
    <w:rsid w:val="007D6DFB"/>
    <w:rsid w:val="007E1242"/>
    <w:rsid w:val="007E7A69"/>
    <w:rsid w:val="007F2CB1"/>
    <w:rsid w:val="007F53F6"/>
    <w:rsid w:val="00803C84"/>
    <w:rsid w:val="008048B2"/>
    <w:rsid w:val="00804BA4"/>
    <w:rsid w:val="00806FDE"/>
    <w:rsid w:val="00810FC4"/>
    <w:rsid w:val="00816A37"/>
    <w:rsid w:val="0081734E"/>
    <w:rsid w:val="00817B87"/>
    <w:rsid w:val="008218A3"/>
    <w:rsid w:val="00822AA7"/>
    <w:rsid w:val="008253E9"/>
    <w:rsid w:val="00826BC3"/>
    <w:rsid w:val="00826FC8"/>
    <w:rsid w:val="0083448C"/>
    <w:rsid w:val="008458AA"/>
    <w:rsid w:val="00846ACA"/>
    <w:rsid w:val="0086289E"/>
    <w:rsid w:val="00866135"/>
    <w:rsid w:val="008664C1"/>
    <w:rsid w:val="00870FAB"/>
    <w:rsid w:val="00880C8D"/>
    <w:rsid w:val="00886656"/>
    <w:rsid w:val="00886E4F"/>
    <w:rsid w:val="0089082E"/>
    <w:rsid w:val="00892A6F"/>
    <w:rsid w:val="00893A5D"/>
    <w:rsid w:val="008A0127"/>
    <w:rsid w:val="008A32EA"/>
    <w:rsid w:val="008A466C"/>
    <w:rsid w:val="008B034F"/>
    <w:rsid w:val="008B622C"/>
    <w:rsid w:val="008C2A9D"/>
    <w:rsid w:val="008C494E"/>
    <w:rsid w:val="008D0943"/>
    <w:rsid w:val="008D3237"/>
    <w:rsid w:val="008D44D5"/>
    <w:rsid w:val="008E3288"/>
    <w:rsid w:val="008F525C"/>
    <w:rsid w:val="008F7828"/>
    <w:rsid w:val="008F7F18"/>
    <w:rsid w:val="00904DA1"/>
    <w:rsid w:val="009064C2"/>
    <w:rsid w:val="0091630A"/>
    <w:rsid w:val="00916FCF"/>
    <w:rsid w:val="009309C9"/>
    <w:rsid w:val="00934B6C"/>
    <w:rsid w:val="00941801"/>
    <w:rsid w:val="009426A9"/>
    <w:rsid w:val="009466A5"/>
    <w:rsid w:val="00946EC3"/>
    <w:rsid w:val="009470C2"/>
    <w:rsid w:val="0094746B"/>
    <w:rsid w:val="009475E4"/>
    <w:rsid w:val="009538B6"/>
    <w:rsid w:val="009556B6"/>
    <w:rsid w:val="0096061C"/>
    <w:rsid w:val="009614E9"/>
    <w:rsid w:val="00961736"/>
    <w:rsid w:val="0096263B"/>
    <w:rsid w:val="00963D1C"/>
    <w:rsid w:val="00970540"/>
    <w:rsid w:val="00971454"/>
    <w:rsid w:val="00975673"/>
    <w:rsid w:val="00986BA5"/>
    <w:rsid w:val="00990442"/>
    <w:rsid w:val="00990958"/>
    <w:rsid w:val="009A0172"/>
    <w:rsid w:val="009A0BA1"/>
    <w:rsid w:val="009A22C2"/>
    <w:rsid w:val="009A2CEC"/>
    <w:rsid w:val="009A5C0D"/>
    <w:rsid w:val="009B22A7"/>
    <w:rsid w:val="009B31D7"/>
    <w:rsid w:val="009B5C3C"/>
    <w:rsid w:val="009B67B0"/>
    <w:rsid w:val="009C1ECF"/>
    <w:rsid w:val="009D645A"/>
    <w:rsid w:val="009E65D9"/>
    <w:rsid w:val="009F375A"/>
    <w:rsid w:val="009F6345"/>
    <w:rsid w:val="009F7174"/>
    <w:rsid w:val="00A05155"/>
    <w:rsid w:val="00A05DC1"/>
    <w:rsid w:val="00A13180"/>
    <w:rsid w:val="00A14412"/>
    <w:rsid w:val="00A175D9"/>
    <w:rsid w:val="00A230BB"/>
    <w:rsid w:val="00A244E2"/>
    <w:rsid w:val="00A32C81"/>
    <w:rsid w:val="00A33676"/>
    <w:rsid w:val="00A37434"/>
    <w:rsid w:val="00A422D2"/>
    <w:rsid w:val="00A54C76"/>
    <w:rsid w:val="00A64474"/>
    <w:rsid w:val="00A66E05"/>
    <w:rsid w:val="00A73DC0"/>
    <w:rsid w:val="00A76652"/>
    <w:rsid w:val="00A80FC2"/>
    <w:rsid w:val="00A83288"/>
    <w:rsid w:val="00A83FD3"/>
    <w:rsid w:val="00A87461"/>
    <w:rsid w:val="00A92752"/>
    <w:rsid w:val="00A92FE6"/>
    <w:rsid w:val="00A9346C"/>
    <w:rsid w:val="00A94C08"/>
    <w:rsid w:val="00AA1660"/>
    <w:rsid w:val="00AA6652"/>
    <w:rsid w:val="00AB73F4"/>
    <w:rsid w:val="00AC6212"/>
    <w:rsid w:val="00AD5DE6"/>
    <w:rsid w:val="00AD6B70"/>
    <w:rsid w:val="00AE74CD"/>
    <w:rsid w:val="00AF0C7B"/>
    <w:rsid w:val="00AF0E29"/>
    <w:rsid w:val="00AF279B"/>
    <w:rsid w:val="00B0144F"/>
    <w:rsid w:val="00B041D0"/>
    <w:rsid w:val="00B046D5"/>
    <w:rsid w:val="00B05C0B"/>
    <w:rsid w:val="00B068DB"/>
    <w:rsid w:val="00B1431E"/>
    <w:rsid w:val="00B167AB"/>
    <w:rsid w:val="00B22F6E"/>
    <w:rsid w:val="00B24A85"/>
    <w:rsid w:val="00B26018"/>
    <w:rsid w:val="00B31977"/>
    <w:rsid w:val="00B3348F"/>
    <w:rsid w:val="00B33A16"/>
    <w:rsid w:val="00B361A3"/>
    <w:rsid w:val="00B362D2"/>
    <w:rsid w:val="00B41D73"/>
    <w:rsid w:val="00B44B1A"/>
    <w:rsid w:val="00B47E71"/>
    <w:rsid w:val="00B51E8C"/>
    <w:rsid w:val="00B54974"/>
    <w:rsid w:val="00B5799B"/>
    <w:rsid w:val="00B617F6"/>
    <w:rsid w:val="00B66C7A"/>
    <w:rsid w:val="00B67ABA"/>
    <w:rsid w:val="00B72025"/>
    <w:rsid w:val="00B725B5"/>
    <w:rsid w:val="00B72B30"/>
    <w:rsid w:val="00B779FF"/>
    <w:rsid w:val="00B842E0"/>
    <w:rsid w:val="00B93432"/>
    <w:rsid w:val="00B95E2E"/>
    <w:rsid w:val="00B962CC"/>
    <w:rsid w:val="00B96B19"/>
    <w:rsid w:val="00BA5572"/>
    <w:rsid w:val="00BA64A2"/>
    <w:rsid w:val="00BB1CAE"/>
    <w:rsid w:val="00BC0CC7"/>
    <w:rsid w:val="00BC18F5"/>
    <w:rsid w:val="00BC1A7A"/>
    <w:rsid w:val="00BC65CA"/>
    <w:rsid w:val="00BD0A0B"/>
    <w:rsid w:val="00BD1149"/>
    <w:rsid w:val="00BD53CD"/>
    <w:rsid w:val="00BD65D4"/>
    <w:rsid w:val="00BE047B"/>
    <w:rsid w:val="00BE14AF"/>
    <w:rsid w:val="00BF55B6"/>
    <w:rsid w:val="00C06294"/>
    <w:rsid w:val="00C12FD7"/>
    <w:rsid w:val="00C130B4"/>
    <w:rsid w:val="00C14525"/>
    <w:rsid w:val="00C217A2"/>
    <w:rsid w:val="00C257E7"/>
    <w:rsid w:val="00C26E78"/>
    <w:rsid w:val="00C273CB"/>
    <w:rsid w:val="00C33FCC"/>
    <w:rsid w:val="00C37878"/>
    <w:rsid w:val="00C40371"/>
    <w:rsid w:val="00C4051F"/>
    <w:rsid w:val="00C43B5B"/>
    <w:rsid w:val="00C44777"/>
    <w:rsid w:val="00C448C8"/>
    <w:rsid w:val="00C5225A"/>
    <w:rsid w:val="00C5750E"/>
    <w:rsid w:val="00C65075"/>
    <w:rsid w:val="00C65206"/>
    <w:rsid w:val="00C65F95"/>
    <w:rsid w:val="00C7044F"/>
    <w:rsid w:val="00C75109"/>
    <w:rsid w:val="00C81E0C"/>
    <w:rsid w:val="00C8261D"/>
    <w:rsid w:val="00C87E5C"/>
    <w:rsid w:val="00CB1C72"/>
    <w:rsid w:val="00CB21D4"/>
    <w:rsid w:val="00CB249C"/>
    <w:rsid w:val="00CB5969"/>
    <w:rsid w:val="00CB63F8"/>
    <w:rsid w:val="00CC174B"/>
    <w:rsid w:val="00CC7791"/>
    <w:rsid w:val="00CD5285"/>
    <w:rsid w:val="00CD59DC"/>
    <w:rsid w:val="00CD6D5B"/>
    <w:rsid w:val="00CD6E74"/>
    <w:rsid w:val="00CE1ED2"/>
    <w:rsid w:val="00CE2ECC"/>
    <w:rsid w:val="00CF40FB"/>
    <w:rsid w:val="00D00171"/>
    <w:rsid w:val="00D003B8"/>
    <w:rsid w:val="00D01DB9"/>
    <w:rsid w:val="00D031E4"/>
    <w:rsid w:val="00D12B59"/>
    <w:rsid w:val="00D12F3F"/>
    <w:rsid w:val="00D157FB"/>
    <w:rsid w:val="00D15F75"/>
    <w:rsid w:val="00D1618A"/>
    <w:rsid w:val="00D167E2"/>
    <w:rsid w:val="00D20BCE"/>
    <w:rsid w:val="00D21B2B"/>
    <w:rsid w:val="00D21D68"/>
    <w:rsid w:val="00D23EB8"/>
    <w:rsid w:val="00D260AC"/>
    <w:rsid w:val="00D2634D"/>
    <w:rsid w:val="00D26D4A"/>
    <w:rsid w:val="00D308F0"/>
    <w:rsid w:val="00D37509"/>
    <w:rsid w:val="00D61DCF"/>
    <w:rsid w:val="00D65368"/>
    <w:rsid w:val="00D726F9"/>
    <w:rsid w:val="00D75DE7"/>
    <w:rsid w:val="00D847AB"/>
    <w:rsid w:val="00D84F8D"/>
    <w:rsid w:val="00D865E5"/>
    <w:rsid w:val="00D86D6A"/>
    <w:rsid w:val="00D8754B"/>
    <w:rsid w:val="00DA1B2C"/>
    <w:rsid w:val="00DA3D04"/>
    <w:rsid w:val="00DA5061"/>
    <w:rsid w:val="00DA61AE"/>
    <w:rsid w:val="00DB0841"/>
    <w:rsid w:val="00DB29DB"/>
    <w:rsid w:val="00DB3345"/>
    <w:rsid w:val="00DB52F0"/>
    <w:rsid w:val="00DB735D"/>
    <w:rsid w:val="00DB7722"/>
    <w:rsid w:val="00DC1876"/>
    <w:rsid w:val="00DC19FD"/>
    <w:rsid w:val="00DC41EE"/>
    <w:rsid w:val="00DC7B50"/>
    <w:rsid w:val="00DD062E"/>
    <w:rsid w:val="00DD0A61"/>
    <w:rsid w:val="00DD159D"/>
    <w:rsid w:val="00DD2EF0"/>
    <w:rsid w:val="00DD4B4F"/>
    <w:rsid w:val="00DD5008"/>
    <w:rsid w:val="00E01677"/>
    <w:rsid w:val="00E04724"/>
    <w:rsid w:val="00E13F51"/>
    <w:rsid w:val="00E16273"/>
    <w:rsid w:val="00E23AA9"/>
    <w:rsid w:val="00E23C74"/>
    <w:rsid w:val="00E303CB"/>
    <w:rsid w:val="00E34FB5"/>
    <w:rsid w:val="00E35CA2"/>
    <w:rsid w:val="00E45AE4"/>
    <w:rsid w:val="00E50638"/>
    <w:rsid w:val="00E635A9"/>
    <w:rsid w:val="00E71F4A"/>
    <w:rsid w:val="00E72B88"/>
    <w:rsid w:val="00E74946"/>
    <w:rsid w:val="00E74A63"/>
    <w:rsid w:val="00E75084"/>
    <w:rsid w:val="00E76CC5"/>
    <w:rsid w:val="00E81150"/>
    <w:rsid w:val="00E81DBD"/>
    <w:rsid w:val="00E866E3"/>
    <w:rsid w:val="00E90D99"/>
    <w:rsid w:val="00E9151B"/>
    <w:rsid w:val="00E94E56"/>
    <w:rsid w:val="00EA10C8"/>
    <w:rsid w:val="00EA130D"/>
    <w:rsid w:val="00EA189D"/>
    <w:rsid w:val="00EB07AF"/>
    <w:rsid w:val="00EB0AA2"/>
    <w:rsid w:val="00EC183D"/>
    <w:rsid w:val="00EC3B16"/>
    <w:rsid w:val="00EC4783"/>
    <w:rsid w:val="00EC4E4F"/>
    <w:rsid w:val="00EC768D"/>
    <w:rsid w:val="00ED7D8E"/>
    <w:rsid w:val="00EE4900"/>
    <w:rsid w:val="00EE72E9"/>
    <w:rsid w:val="00EF5330"/>
    <w:rsid w:val="00F00D06"/>
    <w:rsid w:val="00F030E0"/>
    <w:rsid w:val="00F10AC6"/>
    <w:rsid w:val="00F2197C"/>
    <w:rsid w:val="00F21D53"/>
    <w:rsid w:val="00F21DEA"/>
    <w:rsid w:val="00F22480"/>
    <w:rsid w:val="00F23A48"/>
    <w:rsid w:val="00F23C56"/>
    <w:rsid w:val="00F24610"/>
    <w:rsid w:val="00F25C3B"/>
    <w:rsid w:val="00F27305"/>
    <w:rsid w:val="00F32A09"/>
    <w:rsid w:val="00F359EE"/>
    <w:rsid w:val="00F36203"/>
    <w:rsid w:val="00F36F53"/>
    <w:rsid w:val="00F4776D"/>
    <w:rsid w:val="00F50463"/>
    <w:rsid w:val="00F54230"/>
    <w:rsid w:val="00F563AC"/>
    <w:rsid w:val="00F57060"/>
    <w:rsid w:val="00F62C5D"/>
    <w:rsid w:val="00F63194"/>
    <w:rsid w:val="00F65B67"/>
    <w:rsid w:val="00F80042"/>
    <w:rsid w:val="00F845FB"/>
    <w:rsid w:val="00F94BFF"/>
    <w:rsid w:val="00FA05C5"/>
    <w:rsid w:val="00FA0952"/>
    <w:rsid w:val="00FA5723"/>
    <w:rsid w:val="00FB249D"/>
    <w:rsid w:val="00FB2609"/>
    <w:rsid w:val="00FC08E5"/>
    <w:rsid w:val="00FD6F43"/>
    <w:rsid w:val="00FD7F3D"/>
    <w:rsid w:val="00FF07E1"/>
    <w:rsid w:val="00FF1AF2"/>
    <w:rsid w:val="00FF4A28"/>
    <w:rsid w:val="00FF6BDB"/>
    <w:rsid w:val="040F104D"/>
    <w:rsid w:val="05EC6139"/>
    <w:rsid w:val="0A5D1981"/>
    <w:rsid w:val="0E102BCD"/>
    <w:rsid w:val="0E6D67CC"/>
    <w:rsid w:val="102011EA"/>
    <w:rsid w:val="103E4D70"/>
    <w:rsid w:val="10764A2E"/>
    <w:rsid w:val="109A0F5B"/>
    <w:rsid w:val="12FE6C25"/>
    <w:rsid w:val="140E5EE2"/>
    <w:rsid w:val="20B50DD7"/>
    <w:rsid w:val="230C3F3A"/>
    <w:rsid w:val="23F579A7"/>
    <w:rsid w:val="26AD1838"/>
    <w:rsid w:val="27566EF6"/>
    <w:rsid w:val="29891E41"/>
    <w:rsid w:val="2C676FB1"/>
    <w:rsid w:val="31390369"/>
    <w:rsid w:val="35976F45"/>
    <w:rsid w:val="3AA217E0"/>
    <w:rsid w:val="3DF943C0"/>
    <w:rsid w:val="40C672E3"/>
    <w:rsid w:val="41B8146E"/>
    <w:rsid w:val="42B155EE"/>
    <w:rsid w:val="42F23D41"/>
    <w:rsid w:val="4DA906D4"/>
    <w:rsid w:val="55AF08CF"/>
    <w:rsid w:val="56153049"/>
    <w:rsid w:val="56F24390"/>
    <w:rsid w:val="65E928CD"/>
    <w:rsid w:val="67F13D08"/>
    <w:rsid w:val="6F654C27"/>
    <w:rsid w:val="7AF16D50"/>
    <w:rsid w:val="7BB120FE"/>
    <w:rsid w:val="7DC72C46"/>
    <w:rsid w:val="7E6B066D"/>
    <w:rsid w:val="7ED8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100" w:beforeAutospacing="1" w:after="100" w:afterAutospacing="1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100" w:beforeAutospacing="1" w:after="100" w:afterAutospacing="1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100" w:beforeAutospacing="1" w:after="100" w:afterAutospacing="1"/>
      <w:outlineLvl w:val="2"/>
    </w:pPr>
    <w:rPr>
      <w:rFonts w:eastAsiaTheme="majorEastAsia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2"/>
    <w:qFormat/>
    <w:uiPriority w:val="1"/>
    <w:rPr>
      <w:sz w:val="20"/>
      <w:szCs w:val="20"/>
    </w:r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800080" w:themeColor="followedHyperlink"/>
      <w:u w:val="single"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</w:r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qFormat/>
    <w:uiPriority w:val="1"/>
    <w:pPr>
      <w:spacing w:before="3"/>
      <w:ind w:left="1369" w:hanging="404"/>
    </w:pPr>
  </w:style>
  <w:style w:type="paragraph" w:customStyle="1" w:styleId="17">
    <w:name w:val="Table Paragraph"/>
    <w:basedOn w:val="1"/>
    <w:qFormat/>
    <w:uiPriority w:val="1"/>
  </w:style>
  <w:style w:type="character" w:customStyle="1" w:styleId="18">
    <w:name w:val="页眉 字符"/>
    <w:basedOn w:val="12"/>
    <w:link w:val="8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19">
    <w:name w:val="页脚 字符"/>
    <w:basedOn w:val="12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0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1">
    <w:name w:val="标题0"/>
    <w:link w:val="23"/>
    <w:qFormat/>
    <w:uiPriority w:val="0"/>
    <w:pPr>
      <w:widowControl w:val="0"/>
      <w:autoSpaceDE w:val="0"/>
      <w:autoSpaceDN w:val="0"/>
    </w:pPr>
    <w:rPr>
      <w:rFonts w:ascii="Calibri" w:hAnsi="宋体" w:eastAsia="黑体" w:cs="宋体"/>
      <w:b/>
      <w:bCs/>
      <w:kern w:val="44"/>
      <w:sz w:val="32"/>
      <w:szCs w:val="44"/>
      <w:lang w:val="en-US" w:eastAsia="en-US" w:bidi="ar-SA"/>
    </w:rPr>
  </w:style>
  <w:style w:type="character" w:customStyle="1" w:styleId="22">
    <w:name w:val="正文文本 字符"/>
    <w:basedOn w:val="12"/>
    <w:link w:val="5"/>
    <w:qFormat/>
    <w:uiPriority w:val="1"/>
    <w:rPr>
      <w:rFonts w:ascii="宋体" w:hAnsi="宋体" w:eastAsia="宋体" w:cs="宋体"/>
      <w:sz w:val="20"/>
      <w:szCs w:val="20"/>
    </w:rPr>
  </w:style>
  <w:style w:type="character" w:customStyle="1" w:styleId="23">
    <w:name w:val="标题0 字符"/>
    <w:basedOn w:val="22"/>
    <w:link w:val="21"/>
    <w:qFormat/>
    <w:uiPriority w:val="0"/>
    <w:rPr>
      <w:rFonts w:ascii="Calibri" w:hAnsi="宋体" w:eastAsia="黑体" w:cs="宋体"/>
      <w:b/>
      <w:bCs/>
      <w:kern w:val="44"/>
      <w:sz w:val="32"/>
      <w:szCs w:val="44"/>
    </w:rPr>
  </w:style>
  <w:style w:type="character" w:customStyle="1" w:styleId="24">
    <w:name w:val="标题 1 字符"/>
    <w:basedOn w:val="12"/>
    <w:link w:val="2"/>
    <w:qFormat/>
    <w:uiPriority w:val="9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5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字符"/>
    <w:basedOn w:val="12"/>
    <w:link w:val="4"/>
    <w:qFormat/>
    <w:uiPriority w:val="9"/>
    <w:rPr>
      <w:rFonts w:ascii="宋体" w:hAnsi="宋体" w:cs="宋体" w:eastAsiaTheme="majorEastAs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0" Type="http://schemas.openxmlformats.org/officeDocument/2006/relationships/fontTable" Target="fontTable.xml"/><Relationship Id="rId7" Type="http://schemas.openxmlformats.org/officeDocument/2006/relationships/footer" Target="footer3.xml"/><Relationship Id="rId69" Type="http://schemas.openxmlformats.org/officeDocument/2006/relationships/customXml" Target="../customXml/item2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png"/><Relationship Id="rId27" Type="http://schemas.openxmlformats.org/officeDocument/2006/relationships/image" Target="media/image19.jpeg"/><Relationship Id="rId26" Type="http://schemas.openxmlformats.org/officeDocument/2006/relationships/image" Target="media/image18.pn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55"/>
    <customShpInfo spid="_x0000_s10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7B693B-E329-4FC4-A14E-C44B6A0F42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2410</Words>
  <Characters>2719</Characters>
  <Lines>18</Lines>
  <Paragraphs>5</Paragraphs>
  <TotalTime>28</TotalTime>
  <ScaleCrop>false</ScaleCrop>
  <LinksUpToDate>false</LinksUpToDate>
  <CharactersWithSpaces>2815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2024-03-19T02:03:00Z</dcterms:created>
  <dc:creator>sej</dc:creator>
  <cp:keywords>4</cp:keywords>
  <cp:lastModifiedBy>慕溪</cp:lastModifiedBy>
  <cp:lastPrinted>2024-05-15T08:04:00Z</cp:lastPrinted>
  <dcterms:modified xsi:type="dcterms:W3CDTF">2024-07-31T03:06:31Z</dcterms:modified>
  <cp:revision>653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2024-03-19T00:00:00Z</vt:filetime>
  </property>
  <property fmtid="{D5CDD505-2E9C-101B-9397-08002B2CF9AE}" pid="5" name="KSOProductBuildVer">
    <vt:lpwstr>2052-12.1.0.17147</vt:lpwstr>
  </property>
  <property fmtid="{D5CDD505-2E9C-101B-9397-08002B2CF9AE}" pid="6" name="ICV">
    <vt:lpwstr>821DB71B9C8047A792DB7139BC139BF3</vt:lpwstr>
  </property>
</Properties>
</file>